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17260" w14:textId="77777777" w:rsidR="00A31208" w:rsidRDefault="00E421FE">
      <w:pPr>
        <w:tabs>
          <w:tab w:val="left" w:pos="708"/>
          <w:tab w:val="left" w:pos="1416"/>
          <w:tab w:val="center" w:pos="4748"/>
        </w:tabs>
        <w:spacing w:after="0"/>
        <w:ind w:firstLine="425"/>
        <w:jc w:val="right"/>
        <w:rPr>
          <w:rFonts w:ascii="Arial" w:eastAsia="Arial" w:hAnsi="Arial" w:cs="Arial"/>
          <w:b/>
          <w:sz w:val="20"/>
          <w:szCs w:val="20"/>
        </w:rPr>
      </w:pPr>
      <w:bookmarkStart w:id="0" w:name="_gjdgxs" w:colFirst="0" w:colLast="0"/>
      <w:bookmarkEnd w:id="0"/>
      <w:r>
        <w:rPr>
          <w:rFonts w:ascii="Arial" w:eastAsia="Arial" w:hAnsi="Arial" w:cs="Arial"/>
          <w:b/>
          <w:sz w:val="20"/>
          <w:szCs w:val="20"/>
        </w:rPr>
        <w:t xml:space="preserve">Załącznik do uchwały nr 10 </w:t>
      </w:r>
    </w:p>
    <w:p w14:paraId="083DAE70" w14:textId="77777777" w:rsidR="00A31208" w:rsidRDefault="00E421FE">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4159AC78" w14:textId="77777777" w:rsidR="00A31208" w:rsidRDefault="00E421FE">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283A50C3" w14:textId="77777777" w:rsidR="00A31208" w:rsidRDefault="00A31208">
      <w:pPr>
        <w:tabs>
          <w:tab w:val="left" w:pos="708"/>
          <w:tab w:val="left" w:pos="1416"/>
          <w:tab w:val="center" w:pos="4748"/>
        </w:tabs>
        <w:spacing w:before="180" w:after="0"/>
        <w:ind w:firstLine="425"/>
        <w:jc w:val="center"/>
        <w:rPr>
          <w:rFonts w:ascii="Arial" w:eastAsia="Arial" w:hAnsi="Arial" w:cs="Arial"/>
          <w:b/>
          <w:sz w:val="26"/>
          <w:szCs w:val="26"/>
        </w:rPr>
      </w:pPr>
    </w:p>
    <w:p w14:paraId="60390229" w14:textId="77777777" w:rsidR="00A31208" w:rsidRDefault="00E421FE">
      <w:pPr>
        <w:tabs>
          <w:tab w:val="left" w:pos="708"/>
          <w:tab w:val="left" w:pos="1416"/>
          <w:tab w:val="center" w:pos="4748"/>
        </w:tabs>
        <w:spacing w:before="180" w:after="0"/>
        <w:ind w:firstLine="425"/>
        <w:jc w:val="center"/>
        <w:rPr>
          <w:color w:val="000000"/>
        </w:rPr>
      </w:pPr>
      <w:r>
        <w:rPr>
          <w:rFonts w:ascii="Arial" w:eastAsia="Arial" w:hAnsi="Arial" w:cs="Arial"/>
          <w:b/>
          <w:sz w:val="26"/>
          <w:szCs w:val="26"/>
        </w:rPr>
        <w:t>RAPORT</w:t>
      </w:r>
    </w:p>
    <w:p w14:paraId="0614B704" w14:textId="77777777" w:rsidR="00A31208" w:rsidRDefault="00E421FE">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 postępu rzeczowo-finansowego projektu informatycznego </w:t>
      </w:r>
    </w:p>
    <w:p w14:paraId="63BDB8F1" w14:textId="77777777" w:rsidR="00A31208" w:rsidRDefault="00E421FE">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za III kwartał 2020 roku</w:t>
      </w:r>
    </w:p>
    <w:p w14:paraId="006CE101" w14:textId="77777777" w:rsidR="00A31208" w:rsidRDefault="00A31208"/>
    <w:tbl>
      <w:tblPr>
        <w:tblStyle w:val="a"/>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A31208" w14:paraId="00CD13BF"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C00829B" w14:textId="77777777" w:rsidR="00A31208" w:rsidRDefault="00E421FE">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9F6AB2" w14:textId="77777777" w:rsidR="00A31208" w:rsidRDefault="00E421FE">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A31208" w14:paraId="05DD3801"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67B3B23" w14:textId="77777777" w:rsidR="00A31208" w:rsidRDefault="00E421FE">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9882C2" w14:textId="77777777" w:rsidR="00A31208" w:rsidRDefault="00E421FE">
            <w:pPr>
              <w:spacing w:line="276" w:lineRule="auto"/>
              <w:rPr>
                <w:rFonts w:ascii="Arial" w:eastAsia="Arial" w:hAnsi="Arial" w:cs="Arial"/>
                <w:sz w:val="20"/>
                <w:szCs w:val="20"/>
              </w:rPr>
            </w:pPr>
            <w:bookmarkStart w:id="1" w:name="_30j0zll" w:colFirst="0" w:colLast="0"/>
            <w:bookmarkEnd w:id="1"/>
            <w:r>
              <w:rPr>
                <w:rFonts w:ascii="Arial" w:eastAsia="Arial" w:hAnsi="Arial" w:cs="Arial"/>
                <w:sz w:val="20"/>
                <w:szCs w:val="20"/>
              </w:rPr>
              <w:t>Minister Edukacji Narodowej</w:t>
            </w:r>
          </w:p>
        </w:tc>
      </w:tr>
      <w:tr w:rsidR="00A31208" w14:paraId="248B330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2BA2494" w14:textId="77777777" w:rsidR="00A31208" w:rsidRDefault="00E421FE">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1A0DAC" w14:textId="77777777" w:rsidR="00A31208" w:rsidRDefault="00E421FE">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A31208" w14:paraId="58C3BA9B"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B31B8EA" w14:textId="77777777" w:rsidR="00A31208" w:rsidRDefault="00E421FE">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8F97EB" w14:textId="77777777" w:rsidR="00A31208" w:rsidRDefault="00E421FE">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A31208" w14:paraId="391E842B"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7DABAE7" w14:textId="77777777" w:rsidR="00A31208" w:rsidRDefault="00E421FE">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410DA7" w14:textId="77777777" w:rsidR="00A31208" w:rsidRDefault="00E421FE">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53B5A26C" w14:textId="77777777" w:rsidR="00A31208" w:rsidRDefault="00E421FE">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7A24F281" w14:textId="77777777" w:rsidR="00A31208" w:rsidRDefault="00E421FE">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767846EE" w14:textId="77777777" w:rsidR="00A31208" w:rsidRDefault="00E421FE">
            <w:pPr>
              <w:spacing w:line="276" w:lineRule="auto"/>
              <w:rPr>
                <w:rFonts w:ascii="Arial" w:eastAsia="Arial" w:hAnsi="Arial" w:cs="Arial"/>
                <w:sz w:val="20"/>
                <w:szCs w:val="20"/>
              </w:rPr>
            </w:pPr>
            <w:r>
              <w:rPr>
                <w:rFonts w:ascii="Arial" w:eastAsia="Arial" w:hAnsi="Arial" w:cs="Arial"/>
                <w:sz w:val="20"/>
                <w:szCs w:val="20"/>
              </w:rPr>
              <w:t xml:space="preserve">działanie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w:t>
            </w:r>
          </w:p>
          <w:p w14:paraId="7F461344" w14:textId="77777777" w:rsidR="00A31208" w:rsidRDefault="00E421FE">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3E5E0CD1" w14:textId="77777777" w:rsidR="00A31208" w:rsidRDefault="00E421FE">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A31208" w14:paraId="0738A001"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2C14215" w14:textId="77777777" w:rsidR="00A31208" w:rsidRDefault="00E421FE">
            <w:pPr>
              <w:rPr>
                <w:rFonts w:ascii="Arial" w:eastAsia="Arial" w:hAnsi="Arial" w:cs="Arial"/>
                <w:b/>
                <w:sz w:val="24"/>
                <w:szCs w:val="24"/>
              </w:rPr>
            </w:pPr>
            <w:r>
              <w:rPr>
                <w:rFonts w:ascii="Arial" w:eastAsia="Arial" w:hAnsi="Arial" w:cs="Arial"/>
                <w:b/>
                <w:sz w:val="24"/>
                <w:szCs w:val="24"/>
              </w:rPr>
              <w:t xml:space="preserve">Całkowity koszt </w:t>
            </w:r>
          </w:p>
          <w:p w14:paraId="2B10FF04" w14:textId="77777777" w:rsidR="00A31208" w:rsidRDefault="00E421FE">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3F8B2" w14:textId="77777777" w:rsidR="00A31208" w:rsidRDefault="00E421FE">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A31208" w14:paraId="2866602D"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25F09F3" w14:textId="77777777" w:rsidR="00A31208" w:rsidRDefault="00E421FE">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0D82F9" w14:textId="77777777" w:rsidR="00A31208" w:rsidRDefault="00E421FE">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A31208" w14:paraId="313E3F31"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A847064" w14:textId="77777777" w:rsidR="00A31208" w:rsidRDefault="00E421FE">
            <w:pPr>
              <w:rPr>
                <w:rFonts w:ascii="Arial" w:eastAsia="Arial" w:hAnsi="Arial" w:cs="Arial"/>
                <w:b/>
                <w:sz w:val="24"/>
                <w:szCs w:val="24"/>
              </w:rPr>
            </w:pPr>
            <w:r>
              <w:rPr>
                <w:rFonts w:ascii="Arial" w:eastAsia="Arial" w:hAnsi="Arial" w:cs="Arial"/>
                <w:b/>
                <w:sz w:val="24"/>
                <w:szCs w:val="24"/>
              </w:rPr>
              <w:t xml:space="preserve">Okres realizacji </w:t>
            </w:r>
          </w:p>
          <w:p w14:paraId="45D8A88F" w14:textId="77777777" w:rsidR="00A31208" w:rsidRDefault="00E421FE">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C75616" w14:textId="77777777" w:rsidR="00A31208" w:rsidRDefault="00E421FE">
            <w:p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od 26 marca 2020 r. do 24 czerwca 2022 r.</w:t>
            </w:r>
          </w:p>
        </w:tc>
      </w:tr>
    </w:tbl>
    <w:p w14:paraId="3C0B134B" w14:textId="77777777" w:rsidR="00A31208" w:rsidRDefault="00E421FE">
      <w:pPr>
        <w:pStyle w:val="Nagwek2"/>
        <w:numPr>
          <w:ilvl w:val="0"/>
          <w:numId w:val="2"/>
        </w:numPr>
        <w:spacing w:before="360"/>
        <w:ind w:right="282"/>
        <w:rPr>
          <w:rFonts w:ascii="Arial" w:eastAsia="Arial" w:hAnsi="Arial" w:cs="Arial"/>
          <w:sz w:val="24"/>
          <w:szCs w:val="24"/>
        </w:rPr>
      </w:pPr>
      <w:r>
        <w:rPr>
          <w:rFonts w:ascii="Arial" w:eastAsia="Arial" w:hAnsi="Arial" w:cs="Arial"/>
          <w:b/>
          <w:color w:val="000000"/>
          <w:sz w:val="24"/>
          <w:szCs w:val="24"/>
        </w:rPr>
        <w:t>Otoczenie prawne</w:t>
      </w:r>
    </w:p>
    <w:p w14:paraId="0FEFEB95" w14:textId="77777777" w:rsidR="00A31208" w:rsidRDefault="00A31208">
      <w:pPr>
        <w:pStyle w:val="Nagwek3"/>
        <w:spacing w:before="0" w:line="360" w:lineRule="auto"/>
        <w:rPr>
          <w:rFonts w:ascii="Arial" w:eastAsia="Arial" w:hAnsi="Arial" w:cs="Arial"/>
          <w:color w:val="000000"/>
          <w:sz w:val="20"/>
          <w:szCs w:val="20"/>
        </w:rPr>
      </w:pPr>
    </w:p>
    <w:p w14:paraId="052942AD" w14:textId="77777777" w:rsidR="00676FC0" w:rsidRDefault="00E421FE">
      <w:pPr>
        <w:rPr>
          <w:rFonts w:ascii="Arial" w:eastAsia="Arial" w:hAnsi="Arial" w:cs="Arial"/>
        </w:rPr>
      </w:pPr>
      <w:r>
        <w:rPr>
          <w:rFonts w:ascii="Arial" w:eastAsia="Arial" w:hAnsi="Arial" w:cs="Arial"/>
        </w:rPr>
        <w:t xml:space="preserve">Ocenianie z wykorzystaniem narzędzi IT, jako sposób oceniania zadań egzaminacyjnych, funkcjonuje w systemie egzaminów zewnętrznych od pięciu lat (od 2015 r. obejmuje jeden przedmiot egzaminacyjny, tj. egzamin gimnazjalny z matematyki). </w:t>
      </w:r>
    </w:p>
    <w:p w14:paraId="516D2574" w14:textId="6C9E3B8A" w:rsidR="00A31208" w:rsidRDefault="00E421FE">
      <w:pPr>
        <w:rPr>
          <w:rFonts w:ascii="Arial" w:eastAsia="Arial" w:hAnsi="Arial" w:cs="Arial"/>
        </w:rPr>
      </w:pPr>
      <w:r>
        <w:rPr>
          <w:rFonts w:ascii="Arial" w:eastAsia="Arial" w:hAnsi="Arial" w:cs="Arial"/>
        </w:rPr>
        <w:t xml:space="preserve">Zgodnie z </w:t>
      </w:r>
      <w:r w:rsidR="0017192E" w:rsidRPr="0017192E">
        <w:rPr>
          <w:rFonts w:ascii="Arial" w:eastAsia="Arial" w:hAnsi="Arial" w:cs="Arial"/>
        </w:rPr>
        <w:t>rozporządzenie</w:t>
      </w:r>
      <w:r w:rsidR="0017192E">
        <w:rPr>
          <w:rFonts w:ascii="Arial" w:eastAsia="Arial" w:hAnsi="Arial" w:cs="Arial"/>
        </w:rPr>
        <w:t xml:space="preserve">m </w:t>
      </w:r>
      <w:r w:rsidR="0017192E" w:rsidRPr="0017192E">
        <w:rPr>
          <w:rFonts w:ascii="Arial" w:eastAsia="Arial" w:hAnsi="Arial" w:cs="Arial"/>
        </w:rPr>
        <w:t xml:space="preserve"> Ministra Edukacji Narodow</w:t>
      </w:r>
      <w:r w:rsidR="00676FC0">
        <w:rPr>
          <w:rFonts w:ascii="Arial" w:eastAsia="Arial" w:hAnsi="Arial" w:cs="Arial"/>
        </w:rPr>
        <w:t>ej z dnia 22 sierpnia 2019 r. w </w:t>
      </w:r>
      <w:r w:rsidR="0017192E" w:rsidRPr="0017192E">
        <w:rPr>
          <w:rFonts w:ascii="Arial" w:eastAsia="Arial" w:hAnsi="Arial" w:cs="Arial"/>
        </w:rPr>
        <w:t>sprawie warunków wynagradzania egzaminatorów za udział w przeprowadzaniu egzaminów oraz nauczycieli akademickich za udział w przeprowadzaniu części ustnej egzaminu maturalnego (Dz.U. z 2019 r. poz. 1648)</w:t>
      </w:r>
      <w:r w:rsidR="0017192E">
        <w:rPr>
          <w:rFonts w:ascii="Arial" w:eastAsia="Arial" w:hAnsi="Arial" w:cs="Arial"/>
        </w:rPr>
        <w:t xml:space="preserve"> </w:t>
      </w:r>
      <w:r>
        <w:rPr>
          <w:rFonts w:ascii="Arial" w:eastAsia="Arial" w:hAnsi="Arial" w:cs="Arial"/>
        </w:rPr>
        <w:t>sprawdzanie prac egzaminacyjnych jest możliwe przy wykorzys</w:t>
      </w:r>
      <w:r w:rsidR="0017192E">
        <w:rPr>
          <w:rFonts w:ascii="Arial" w:eastAsia="Arial" w:hAnsi="Arial" w:cs="Arial"/>
        </w:rPr>
        <w:t>taniu narzędzi elektronicznych</w:t>
      </w:r>
      <w:r>
        <w:rPr>
          <w:rFonts w:ascii="Arial" w:eastAsia="Arial" w:hAnsi="Arial" w:cs="Arial"/>
        </w:rPr>
        <w:t>.</w:t>
      </w:r>
      <w:r w:rsidR="0017192E">
        <w:rPr>
          <w:rFonts w:ascii="Arial" w:eastAsia="Arial" w:hAnsi="Arial" w:cs="Arial"/>
        </w:rPr>
        <w:t xml:space="preserve"> </w:t>
      </w:r>
      <w:r w:rsidR="0017192E" w:rsidRPr="0017192E">
        <w:rPr>
          <w:rFonts w:ascii="Arial" w:eastAsia="Arial" w:hAnsi="Arial" w:cs="Arial"/>
          <w:b/>
        </w:rPr>
        <w:t>Otoczenie prawne nie wymaga zmian.</w:t>
      </w:r>
    </w:p>
    <w:p w14:paraId="102C6846" w14:textId="77777777" w:rsidR="00A31208" w:rsidRDefault="00E421FE">
      <w:pPr>
        <w:pStyle w:val="Nagwek2"/>
        <w:numPr>
          <w:ilvl w:val="0"/>
          <w:numId w:val="2"/>
        </w:numPr>
        <w:rPr>
          <w:rFonts w:ascii="Arial" w:eastAsia="Arial" w:hAnsi="Arial" w:cs="Arial"/>
          <w:i/>
        </w:rPr>
      </w:pPr>
      <w:r>
        <w:rPr>
          <w:rFonts w:ascii="Arial" w:eastAsia="Arial" w:hAnsi="Arial" w:cs="Arial"/>
          <w:b/>
          <w:color w:val="000000"/>
          <w:sz w:val="24"/>
          <w:szCs w:val="24"/>
        </w:rPr>
        <w:lastRenderedPageBreak/>
        <w:t>Postęp finansowy</w:t>
      </w:r>
    </w:p>
    <w:p w14:paraId="12A8F2C4" w14:textId="77777777" w:rsidR="00A31208" w:rsidRDefault="00A31208">
      <w:pPr>
        <w:ind w:left="360"/>
      </w:pPr>
    </w:p>
    <w:tbl>
      <w:tblPr>
        <w:tblStyle w:val="a0"/>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A31208" w14:paraId="09EABFB9" w14:textId="77777777">
        <w:trPr>
          <w:trHeight w:val="439"/>
        </w:trPr>
        <w:tc>
          <w:tcPr>
            <w:tcW w:w="3210" w:type="dxa"/>
            <w:shd w:val="clear" w:color="auto" w:fill="D0CECE"/>
            <w:vAlign w:val="center"/>
          </w:tcPr>
          <w:p w14:paraId="7675F88E" w14:textId="77777777" w:rsidR="00A31208" w:rsidRDefault="00E421FE">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26CD57FF" w14:textId="77777777" w:rsidR="00A31208" w:rsidRDefault="00E421FE">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2EB5A795" w14:textId="77777777" w:rsidR="00A31208" w:rsidRDefault="00E421FE">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A31208" w14:paraId="579FB5D0" w14:textId="77777777">
        <w:tc>
          <w:tcPr>
            <w:tcW w:w="3210" w:type="dxa"/>
            <w:vAlign w:val="center"/>
          </w:tcPr>
          <w:p w14:paraId="0DC9BF5A" w14:textId="77777777" w:rsidR="00A31208" w:rsidRDefault="00E421FE">
            <w:pPr>
              <w:jc w:val="center"/>
              <w:rPr>
                <w:rFonts w:ascii="Arial" w:eastAsia="Arial" w:hAnsi="Arial" w:cs="Arial"/>
                <w:color w:val="000000"/>
                <w:sz w:val="20"/>
                <w:szCs w:val="20"/>
              </w:rPr>
            </w:pPr>
            <w:r>
              <w:rPr>
                <w:rFonts w:ascii="Arial" w:eastAsia="Arial" w:hAnsi="Arial" w:cs="Arial"/>
                <w:color w:val="000000"/>
                <w:sz w:val="20"/>
                <w:szCs w:val="20"/>
              </w:rPr>
              <w:t>18,52%</w:t>
            </w:r>
          </w:p>
        </w:tc>
        <w:tc>
          <w:tcPr>
            <w:tcW w:w="3255" w:type="dxa"/>
            <w:vAlign w:val="center"/>
          </w:tcPr>
          <w:p w14:paraId="2265EB3F" w14:textId="77777777" w:rsidR="00A31208" w:rsidRDefault="00676FC0" w:rsidP="00676FC0">
            <w:pPr>
              <w:pStyle w:val="Akapitzlist"/>
              <w:numPr>
                <w:ilvl w:val="0"/>
                <w:numId w:val="3"/>
              </w:numPr>
              <w:rPr>
                <w:rFonts w:ascii="Arial" w:eastAsia="Arial" w:hAnsi="Arial" w:cs="Arial"/>
                <w:color w:val="000000"/>
                <w:sz w:val="20"/>
                <w:szCs w:val="20"/>
              </w:rPr>
            </w:pPr>
            <w:r>
              <w:rPr>
                <w:rFonts w:ascii="Arial" w:eastAsia="Arial" w:hAnsi="Arial" w:cs="Arial"/>
                <w:color w:val="000000"/>
                <w:sz w:val="20"/>
                <w:szCs w:val="20"/>
              </w:rPr>
              <w:t>0,73%</w:t>
            </w:r>
          </w:p>
          <w:p w14:paraId="5455322D" w14:textId="77777777" w:rsidR="00676FC0" w:rsidRDefault="00676FC0" w:rsidP="00676FC0">
            <w:pPr>
              <w:pStyle w:val="Akapitzlist"/>
              <w:numPr>
                <w:ilvl w:val="0"/>
                <w:numId w:val="3"/>
              </w:numPr>
              <w:rPr>
                <w:rFonts w:ascii="Arial" w:eastAsia="Arial" w:hAnsi="Arial" w:cs="Arial"/>
                <w:color w:val="000000"/>
                <w:sz w:val="20"/>
                <w:szCs w:val="20"/>
              </w:rPr>
            </w:pPr>
            <w:r>
              <w:rPr>
                <w:rFonts w:ascii="Arial" w:eastAsia="Arial" w:hAnsi="Arial" w:cs="Arial"/>
                <w:color w:val="000000"/>
                <w:sz w:val="20"/>
                <w:szCs w:val="20"/>
              </w:rPr>
              <w:t>0%</w:t>
            </w:r>
          </w:p>
          <w:p w14:paraId="0FBE9A71" w14:textId="45AA306F" w:rsidR="00676FC0" w:rsidRPr="00676FC0" w:rsidRDefault="00676FC0" w:rsidP="00676FC0">
            <w:pPr>
              <w:pStyle w:val="Akapitzlist"/>
              <w:numPr>
                <w:ilvl w:val="0"/>
                <w:numId w:val="3"/>
              </w:numPr>
              <w:rPr>
                <w:rFonts w:ascii="Arial" w:eastAsia="Arial" w:hAnsi="Arial" w:cs="Arial"/>
                <w:color w:val="000000"/>
                <w:sz w:val="20"/>
                <w:szCs w:val="20"/>
              </w:rPr>
            </w:pPr>
            <w:r>
              <w:rPr>
                <w:rFonts w:ascii="Arial" w:eastAsia="Arial" w:hAnsi="Arial" w:cs="Arial"/>
                <w:color w:val="000000"/>
                <w:sz w:val="20"/>
                <w:szCs w:val="20"/>
              </w:rPr>
              <w:t>nie dotyczy</w:t>
            </w:r>
          </w:p>
        </w:tc>
        <w:tc>
          <w:tcPr>
            <w:tcW w:w="3405" w:type="dxa"/>
            <w:vAlign w:val="center"/>
          </w:tcPr>
          <w:p w14:paraId="1E37A41D" w14:textId="77777777" w:rsidR="00A31208" w:rsidRDefault="00E421FE">
            <w:pPr>
              <w:rPr>
                <w:rFonts w:ascii="Arial" w:eastAsia="Arial" w:hAnsi="Arial" w:cs="Arial"/>
                <w:color w:val="000000"/>
                <w:sz w:val="20"/>
                <w:szCs w:val="20"/>
              </w:rPr>
            </w:pPr>
            <w:r>
              <w:rPr>
                <w:rFonts w:ascii="Arial" w:eastAsia="Arial" w:hAnsi="Arial" w:cs="Arial"/>
                <w:color w:val="000000"/>
                <w:sz w:val="20"/>
                <w:szCs w:val="20"/>
              </w:rPr>
              <w:t>Łącznie wartość % środków zaangażowanych w projekcie wynosi 15,42%</w:t>
            </w:r>
          </w:p>
        </w:tc>
      </w:tr>
    </w:tbl>
    <w:p w14:paraId="250EDF21" w14:textId="6372C987" w:rsidR="00A31208" w:rsidRDefault="00A31208">
      <w:pPr>
        <w:pStyle w:val="Nagwek3"/>
        <w:spacing w:after="200"/>
        <w:rPr>
          <w:rFonts w:ascii="Arial" w:eastAsia="Arial" w:hAnsi="Arial" w:cs="Arial"/>
          <w:color w:val="767171"/>
          <w:sz w:val="20"/>
          <w:szCs w:val="20"/>
        </w:rPr>
      </w:pPr>
    </w:p>
    <w:p w14:paraId="4692C46A" w14:textId="77777777" w:rsidR="00A31208" w:rsidRDefault="00E421FE">
      <w:pPr>
        <w:rPr>
          <w:rFonts w:ascii="Arial" w:eastAsia="Arial" w:hAnsi="Arial" w:cs="Arial"/>
          <w:color w:val="000000"/>
        </w:rPr>
      </w:pPr>
      <w:r>
        <w:rPr>
          <w:rFonts w:ascii="Arial" w:eastAsia="Arial" w:hAnsi="Arial" w:cs="Arial"/>
          <w:color w:val="000000"/>
        </w:rPr>
        <w:t xml:space="preserve">Porozumienie zostało podpisane 26 marca 2020 r., ale faktyczna realizacja projektu – po uzyskaniu rezerwy celowej – została rozpoczęta 1 sierpnia br. Oznacza to, że projekt jest faktycznie realizowany przez 2 miesiące. </w:t>
      </w:r>
    </w:p>
    <w:p w14:paraId="0785DEAB" w14:textId="77777777" w:rsidR="00A31208" w:rsidRDefault="00E421FE">
      <w:pPr>
        <w:rPr>
          <w:rFonts w:ascii="Arial" w:eastAsia="Arial" w:hAnsi="Arial" w:cs="Arial"/>
        </w:rPr>
      </w:pPr>
      <w:r>
        <w:rPr>
          <w:rFonts w:ascii="Arial" w:eastAsia="Arial" w:hAnsi="Arial" w:cs="Arial"/>
          <w:color w:val="000000"/>
        </w:rPr>
        <w:t>Złożony został w CPPC stosowny wniosek o modyfikację projektu, oczekujemy na rozpatrzenie</w:t>
      </w:r>
      <w:r>
        <w:rPr>
          <w:rFonts w:ascii="Arial" w:eastAsia="Arial" w:hAnsi="Arial" w:cs="Arial"/>
        </w:rPr>
        <w:t>.</w:t>
      </w:r>
    </w:p>
    <w:p w14:paraId="35BBF687" w14:textId="73822775" w:rsidR="00A31208" w:rsidRDefault="00A31208">
      <w:pPr>
        <w:rPr>
          <w:rFonts w:ascii="Arial" w:eastAsia="Arial" w:hAnsi="Arial" w:cs="Arial"/>
          <w:b/>
          <w:color w:val="000000"/>
          <w:sz w:val="24"/>
          <w:szCs w:val="24"/>
        </w:rPr>
      </w:pPr>
    </w:p>
    <w:p w14:paraId="06ED598F" w14:textId="7FE73A68" w:rsidR="00A31208" w:rsidRDefault="00E421FE" w:rsidP="00676FC0">
      <w:pPr>
        <w:pStyle w:val="Nagwek3"/>
        <w:numPr>
          <w:ilvl w:val="0"/>
          <w:numId w:val="2"/>
        </w:numPr>
        <w:spacing w:after="200"/>
        <w:rPr>
          <w:rFonts w:ascii="Arial" w:eastAsia="Arial" w:hAnsi="Arial" w:cs="Arial"/>
          <w:sz w:val="20"/>
          <w:szCs w:val="20"/>
        </w:rPr>
      </w:pPr>
      <w:r>
        <w:rPr>
          <w:rFonts w:ascii="Arial" w:eastAsia="Arial" w:hAnsi="Arial" w:cs="Arial"/>
          <w:b/>
          <w:color w:val="000000"/>
        </w:rPr>
        <w:t>Postęp rzeczowy</w:t>
      </w:r>
    </w:p>
    <w:p w14:paraId="5A91857C" w14:textId="77777777" w:rsidR="00A31208" w:rsidRDefault="00E421FE">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1"/>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A31208" w14:paraId="3A2C07F0" w14:textId="77777777">
        <w:trPr>
          <w:trHeight w:val="1355"/>
          <w:jc w:val="center"/>
        </w:trPr>
        <w:tc>
          <w:tcPr>
            <w:tcW w:w="3225" w:type="dxa"/>
            <w:tcBorders>
              <w:top w:val="single" w:sz="8" w:space="0" w:color="000000"/>
              <w:left w:val="single" w:sz="8" w:space="0" w:color="000000"/>
              <w:bottom w:val="single" w:sz="8" w:space="0" w:color="000000"/>
              <w:right w:val="single" w:sz="8" w:space="0" w:color="000000"/>
            </w:tcBorders>
            <w:shd w:val="clear" w:color="auto" w:fill="DFDFDF"/>
            <w:tcMar>
              <w:top w:w="100" w:type="dxa"/>
              <w:left w:w="80" w:type="dxa"/>
              <w:bottom w:w="100" w:type="dxa"/>
              <w:right w:w="80" w:type="dxa"/>
            </w:tcMar>
            <w:vAlign w:val="center"/>
          </w:tcPr>
          <w:p w14:paraId="1BBACB47" w14:textId="77777777" w:rsidR="00A31208" w:rsidRDefault="00E421FE">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8" w:space="0" w:color="000000"/>
              <w:right w:val="single" w:sz="8" w:space="0" w:color="000000"/>
            </w:tcBorders>
            <w:shd w:val="clear" w:color="auto" w:fill="DFDFDF"/>
            <w:tcMar>
              <w:top w:w="20" w:type="dxa"/>
              <w:left w:w="20" w:type="dxa"/>
              <w:bottom w:w="20" w:type="dxa"/>
              <w:right w:w="20" w:type="dxa"/>
            </w:tcMar>
            <w:vAlign w:val="center"/>
          </w:tcPr>
          <w:p w14:paraId="6815257A" w14:textId="77777777" w:rsidR="00A31208" w:rsidRDefault="00E421FE">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8" w:space="0" w:color="000000"/>
              <w:right w:val="single" w:sz="8" w:space="0" w:color="000000"/>
            </w:tcBorders>
            <w:shd w:val="clear" w:color="auto" w:fill="DFDFDF"/>
            <w:tcMar>
              <w:top w:w="100" w:type="dxa"/>
              <w:left w:w="80" w:type="dxa"/>
              <w:bottom w:w="100" w:type="dxa"/>
              <w:right w:w="80" w:type="dxa"/>
            </w:tcMar>
            <w:vAlign w:val="center"/>
          </w:tcPr>
          <w:p w14:paraId="0E4BAC7D" w14:textId="77777777" w:rsidR="00A31208" w:rsidRDefault="00E421FE">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8" w:space="0" w:color="000000"/>
              <w:right w:val="single" w:sz="8" w:space="0" w:color="000000"/>
            </w:tcBorders>
            <w:shd w:val="clear" w:color="auto" w:fill="DFDFDF"/>
            <w:tcMar>
              <w:top w:w="100" w:type="dxa"/>
              <w:left w:w="80" w:type="dxa"/>
              <w:bottom w:w="100" w:type="dxa"/>
              <w:right w:w="80" w:type="dxa"/>
            </w:tcMar>
            <w:vAlign w:val="center"/>
          </w:tcPr>
          <w:p w14:paraId="0824F1DC" w14:textId="77777777" w:rsidR="00A31208" w:rsidRDefault="00E421FE">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8" w:space="0" w:color="000000"/>
              <w:right w:val="single" w:sz="8" w:space="0" w:color="000000"/>
            </w:tcBorders>
            <w:shd w:val="clear" w:color="auto" w:fill="DFDFDF"/>
            <w:tcMar>
              <w:top w:w="20" w:type="dxa"/>
              <w:left w:w="20" w:type="dxa"/>
              <w:bottom w:w="20" w:type="dxa"/>
              <w:right w:w="20" w:type="dxa"/>
            </w:tcMar>
            <w:vAlign w:val="center"/>
          </w:tcPr>
          <w:p w14:paraId="0C5F2C1D" w14:textId="77777777" w:rsidR="00A31208" w:rsidRDefault="00E421FE">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A31208" w14:paraId="331C8063" w14:textId="77777777">
        <w:trPr>
          <w:trHeight w:val="1208"/>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46394CE4" w14:textId="77777777" w:rsidR="00A31208" w:rsidRDefault="00E421FE">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F47A457" w14:textId="77777777" w:rsidR="00A31208" w:rsidRDefault="00A31208">
            <w:pPr>
              <w:spacing w:before="240"/>
              <w:jc w:val="center"/>
              <w:rPr>
                <w:rFonts w:ascii="Arial" w:eastAsia="Arial" w:hAnsi="Arial" w:cs="Arial"/>
                <w:sz w:val="16"/>
                <w:szCs w:val="16"/>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A786B75" w14:textId="77777777" w:rsidR="00A31208" w:rsidRDefault="00E421FE">
            <w:pPr>
              <w:spacing w:before="240"/>
              <w:jc w:val="center"/>
              <w:rPr>
                <w:rFonts w:ascii="Arial" w:eastAsia="Arial" w:hAnsi="Arial" w:cs="Arial"/>
                <w:sz w:val="20"/>
                <w:szCs w:val="20"/>
              </w:rPr>
            </w:pPr>
            <w:r>
              <w:rPr>
                <w:rFonts w:ascii="Arial" w:eastAsia="Arial" w:hAnsi="Arial" w:cs="Arial"/>
                <w:sz w:val="20"/>
                <w:szCs w:val="20"/>
              </w:rPr>
              <w:t>10-2020</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8BF36C8" w14:textId="7B96D61B" w:rsidR="00A31208" w:rsidRDefault="00A31208">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AA550DF" w14:textId="3CF66261" w:rsidR="00A31208" w:rsidRDefault="00676FC0">
            <w:pPr>
              <w:spacing w:before="240"/>
              <w:jc w:val="center"/>
              <w:rPr>
                <w:rFonts w:ascii="Arial" w:eastAsia="Arial" w:hAnsi="Arial" w:cs="Arial"/>
                <w:sz w:val="20"/>
                <w:szCs w:val="20"/>
              </w:rPr>
            </w:pPr>
            <w:r>
              <w:rPr>
                <w:rFonts w:ascii="Arial" w:eastAsia="Arial" w:hAnsi="Arial" w:cs="Arial"/>
                <w:sz w:val="20"/>
                <w:szCs w:val="20"/>
              </w:rPr>
              <w:t>Planowany</w:t>
            </w:r>
          </w:p>
        </w:tc>
      </w:tr>
      <w:tr w:rsidR="00A31208" w14:paraId="7B05DD9C"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677615BA" w14:textId="77777777" w:rsidR="00A31208" w:rsidRDefault="00E421FE">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82C7084" w14:textId="77777777" w:rsidR="00A31208" w:rsidRDefault="00A31208">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BE539AB" w14:textId="77777777" w:rsidR="00A31208" w:rsidRDefault="00A31208">
            <w:pPr>
              <w:jc w:val="center"/>
              <w:rPr>
                <w:rFonts w:ascii="Arial" w:eastAsia="Arial" w:hAnsi="Arial" w:cs="Arial"/>
                <w:sz w:val="20"/>
                <w:szCs w:val="20"/>
              </w:rPr>
            </w:pPr>
          </w:p>
          <w:p w14:paraId="43E21410" w14:textId="77777777" w:rsidR="00A31208" w:rsidRDefault="00E421FE">
            <w:pPr>
              <w:jc w:val="center"/>
              <w:rPr>
                <w:rFonts w:ascii="Arial" w:eastAsia="Arial" w:hAnsi="Arial" w:cs="Arial"/>
                <w:sz w:val="20"/>
                <w:szCs w:val="20"/>
              </w:rPr>
            </w:pPr>
            <w:r>
              <w:rPr>
                <w:rFonts w:ascii="Arial" w:eastAsia="Arial" w:hAnsi="Arial" w:cs="Arial"/>
                <w:sz w:val="20"/>
                <w:szCs w:val="20"/>
              </w:rPr>
              <w:t>02-2021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3287377" w14:textId="045C2A55" w:rsidR="00A31208" w:rsidRDefault="00A31208">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51E28B46" w14:textId="5328F489" w:rsidR="00A31208" w:rsidRDefault="00676FC0">
            <w:pPr>
              <w:spacing w:before="240"/>
              <w:jc w:val="center"/>
              <w:rPr>
                <w:rFonts w:ascii="Arial" w:eastAsia="Arial" w:hAnsi="Arial" w:cs="Arial"/>
                <w:sz w:val="20"/>
                <w:szCs w:val="20"/>
              </w:rPr>
            </w:pPr>
            <w:r>
              <w:rPr>
                <w:rFonts w:ascii="Arial" w:eastAsia="Arial" w:hAnsi="Arial" w:cs="Arial"/>
                <w:sz w:val="20"/>
                <w:szCs w:val="20"/>
              </w:rPr>
              <w:t>Planowany</w:t>
            </w:r>
          </w:p>
        </w:tc>
      </w:tr>
      <w:tr w:rsidR="00A31208" w14:paraId="2A0A3E88"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2B139A11" w14:textId="77777777" w:rsidR="00A31208" w:rsidRDefault="00E421FE">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2A0A4356" w14:textId="77777777" w:rsidR="00A31208" w:rsidRDefault="00A31208">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6C606D1" w14:textId="77777777" w:rsidR="00A31208" w:rsidRDefault="00A31208">
            <w:pPr>
              <w:jc w:val="center"/>
              <w:rPr>
                <w:rFonts w:ascii="Arial" w:eastAsia="Arial" w:hAnsi="Arial" w:cs="Arial"/>
                <w:sz w:val="20"/>
                <w:szCs w:val="20"/>
              </w:rPr>
            </w:pPr>
          </w:p>
          <w:p w14:paraId="56007231" w14:textId="77777777" w:rsidR="00A31208" w:rsidRDefault="00E421FE">
            <w:pPr>
              <w:jc w:val="center"/>
              <w:rPr>
                <w:rFonts w:ascii="Arial" w:eastAsia="Arial" w:hAnsi="Arial" w:cs="Arial"/>
                <w:sz w:val="20"/>
                <w:szCs w:val="20"/>
              </w:rPr>
            </w:pPr>
            <w:r>
              <w:rPr>
                <w:rFonts w:ascii="Arial" w:eastAsia="Arial" w:hAnsi="Arial" w:cs="Arial"/>
                <w:sz w:val="20"/>
                <w:szCs w:val="20"/>
              </w:rPr>
              <w:t>10-2021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A299BB6" w14:textId="04A25DE7" w:rsidR="00A31208" w:rsidRDefault="00A31208">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5947941F" w14:textId="653A08AE" w:rsidR="00A31208" w:rsidRDefault="00676FC0">
            <w:pPr>
              <w:spacing w:before="240"/>
              <w:jc w:val="center"/>
              <w:rPr>
                <w:rFonts w:ascii="Arial" w:eastAsia="Arial" w:hAnsi="Arial" w:cs="Arial"/>
                <w:sz w:val="20"/>
                <w:szCs w:val="20"/>
              </w:rPr>
            </w:pPr>
            <w:r>
              <w:rPr>
                <w:rFonts w:ascii="Arial" w:eastAsia="Arial" w:hAnsi="Arial" w:cs="Arial"/>
                <w:sz w:val="20"/>
                <w:szCs w:val="20"/>
              </w:rPr>
              <w:t>Planowany</w:t>
            </w:r>
          </w:p>
        </w:tc>
      </w:tr>
      <w:tr w:rsidR="00A31208" w14:paraId="4BC0803B"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660DB601" w14:textId="77777777" w:rsidR="00A31208" w:rsidRDefault="00E421FE">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70C32F5" w14:textId="77777777" w:rsidR="00A31208" w:rsidRDefault="00E421FE">
            <w:pPr>
              <w:spacing w:before="240"/>
              <w:jc w:val="center"/>
              <w:rPr>
                <w:rFonts w:ascii="Arial" w:eastAsia="Arial" w:hAnsi="Arial" w:cs="Arial"/>
                <w:sz w:val="20"/>
                <w:szCs w:val="20"/>
                <w:highlight w:val="white"/>
              </w:rPr>
            </w:pPr>
            <w:r>
              <w:rPr>
                <w:rFonts w:ascii="Arial" w:eastAsia="Arial" w:hAnsi="Arial" w:cs="Arial"/>
                <w:sz w:val="20"/>
                <w:szCs w:val="20"/>
                <w:highlight w:val="white"/>
              </w:rPr>
              <w:t>KPI 2 - 1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FA13B6A" w14:textId="6491965B" w:rsidR="00A31208" w:rsidRDefault="00E421FE" w:rsidP="00B6395B">
            <w:pPr>
              <w:jc w:val="center"/>
              <w:rPr>
                <w:rFonts w:ascii="Arial" w:eastAsia="Arial" w:hAnsi="Arial" w:cs="Arial"/>
                <w:sz w:val="20"/>
                <w:szCs w:val="20"/>
              </w:rPr>
            </w:pPr>
            <w:r>
              <w:rPr>
                <w:rFonts w:ascii="Arial" w:eastAsia="Arial" w:hAnsi="Arial" w:cs="Arial"/>
                <w:sz w:val="20"/>
                <w:szCs w:val="20"/>
              </w:rPr>
              <w:t>05-2022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7713AC8" w14:textId="65C14E82" w:rsidR="00A31208" w:rsidRDefault="00A31208">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5DE8EC5C" w14:textId="1B7E101D" w:rsidR="00A31208" w:rsidRDefault="00676FC0">
            <w:pPr>
              <w:spacing w:before="240"/>
              <w:jc w:val="center"/>
              <w:rPr>
                <w:rFonts w:ascii="Arial" w:eastAsia="Arial" w:hAnsi="Arial" w:cs="Arial"/>
                <w:sz w:val="20"/>
                <w:szCs w:val="20"/>
              </w:rPr>
            </w:pPr>
            <w:r>
              <w:rPr>
                <w:rFonts w:ascii="Arial" w:eastAsia="Arial" w:hAnsi="Arial" w:cs="Arial"/>
                <w:sz w:val="20"/>
                <w:szCs w:val="20"/>
              </w:rPr>
              <w:t>Planowany</w:t>
            </w:r>
          </w:p>
        </w:tc>
      </w:tr>
      <w:tr w:rsidR="00A31208" w14:paraId="5DB2BCB8"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304261C" w14:textId="77777777" w:rsidR="00A31208" w:rsidRDefault="00E421FE">
            <w:pPr>
              <w:spacing w:before="240"/>
              <w:jc w:val="center"/>
              <w:rPr>
                <w:rFonts w:ascii="Arial" w:eastAsia="Arial" w:hAnsi="Arial" w:cs="Arial"/>
                <w:sz w:val="20"/>
                <w:szCs w:val="20"/>
              </w:rPr>
            </w:pPr>
            <w:r>
              <w:rPr>
                <w:rFonts w:ascii="Arial" w:eastAsia="Arial" w:hAnsi="Arial" w:cs="Arial"/>
                <w:sz w:val="20"/>
                <w:szCs w:val="20"/>
              </w:rPr>
              <w:lastRenderedPageBreak/>
              <w:t xml:space="preserve">Przeprowadzone przez wykonawcę systemu informatycznego szkolenia dla kadry CKE i </w:t>
            </w:r>
            <w:proofErr w:type="spellStart"/>
            <w:r>
              <w:rPr>
                <w:rFonts w:ascii="Arial" w:eastAsia="Arial" w:hAnsi="Arial" w:cs="Arial"/>
                <w:sz w:val="20"/>
                <w:szCs w:val="20"/>
              </w:rPr>
              <w:t>oke</w:t>
            </w:r>
            <w:proofErr w:type="spellEnd"/>
            <w:r>
              <w:rPr>
                <w:rFonts w:ascii="Arial" w:eastAsia="Arial" w:hAnsi="Arial" w:cs="Arial"/>
                <w:sz w:val="20"/>
                <w:szCs w:val="20"/>
              </w:rPr>
              <w:t>:</w:t>
            </w:r>
          </w:p>
          <w:p w14:paraId="4136CF5F" w14:textId="77777777" w:rsidR="00A31208" w:rsidRDefault="00E421FE">
            <w:pPr>
              <w:spacing w:before="240"/>
              <w:jc w:val="center"/>
              <w:rPr>
                <w:rFonts w:ascii="Arial" w:eastAsia="Arial" w:hAnsi="Arial" w:cs="Arial"/>
                <w:sz w:val="20"/>
                <w:szCs w:val="20"/>
              </w:rPr>
            </w:pPr>
            <w:r>
              <w:rPr>
                <w:rFonts w:ascii="Arial" w:eastAsia="Arial" w:hAnsi="Arial" w:cs="Arial"/>
                <w:sz w:val="20"/>
                <w:szCs w:val="20"/>
              </w:rPr>
              <w:t>- pracowników IT</w:t>
            </w:r>
          </w:p>
          <w:p w14:paraId="6EBE4920" w14:textId="77777777" w:rsidR="00A31208" w:rsidRDefault="00E421FE">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50833C2" w14:textId="77777777" w:rsidR="00A31208" w:rsidRDefault="00E421FE">
            <w:pPr>
              <w:spacing w:before="240"/>
              <w:jc w:val="center"/>
              <w:rPr>
                <w:rFonts w:ascii="Arial" w:eastAsia="Arial" w:hAnsi="Arial" w:cs="Arial"/>
                <w:sz w:val="20"/>
                <w:szCs w:val="20"/>
                <w:highlight w:val="white"/>
              </w:rPr>
            </w:pPr>
            <w:r>
              <w:rPr>
                <w:rFonts w:ascii="Arial" w:eastAsia="Arial" w:hAnsi="Arial" w:cs="Arial"/>
                <w:sz w:val="20"/>
                <w:szCs w:val="20"/>
                <w:highlight w:val="white"/>
              </w:rPr>
              <w:t>KPI 3 - 22 osoby</w:t>
            </w:r>
          </w:p>
          <w:p w14:paraId="76B658F0" w14:textId="77777777" w:rsidR="00A31208" w:rsidRDefault="00E421FE">
            <w:pPr>
              <w:spacing w:before="240"/>
              <w:jc w:val="center"/>
              <w:rPr>
                <w:rFonts w:ascii="Arial" w:eastAsia="Arial" w:hAnsi="Arial" w:cs="Arial"/>
                <w:sz w:val="16"/>
                <w:szCs w:val="16"/>
              </w:rPr>
            </w:pPr>
            <w:r>
              <w:rPr>
                <w:rFonts w:ascii="Arial" w:eastAsia="Arial" w:hAnsi="Arial" w:cs="Arial"/>
                <w:sz w:val="20"/>
                <w:szCs w:val="20"/>
                <w:highlight w:val="white"/>
              </w:rPr>
              <w:t>KPI 4 - 83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C7EE99F" w14:textId="77777777" w:rsidR="00A31208" w:rsidRDefault="00E421FE">
            <w:pPr>
              <w:spacing w:before="240"/>
              <w:jc w:val="center"/>
              <w:rPr>
                <w:rFonts w:ascii="Arial" w:eastAsia="Arial" w:hAnsi="Arial" w:cs="Arial"/>
                <w:sz w:val="20"/>
                <w:szCs w:val="20"/>
              </w:rPr>
            </w:pPr>
            <w:r>
              <w:rPr>
                <w:rFonts w:ascii="Arial" w:eastAsia="Arial" w:hAnsi="Arial" w:cs="Arial"/>
                <w:sz w:val="20"/>
                <w:szCs w:val="20"/>
              </w:rPr>
              <w:t>04-2022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BD54B1C" w14:textId="1420EACD" w:rsidR="00A31208" w:rsidRDefault="00A31208">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AF3C8E" w14:textId="4E3CE4ED" w:rsidR="00A31208" w:rsidRDefault="00676FC0">
            <w:pPr>
              <w:spacing w:before="240"/>
              <w:jc w:val="center"/>
              <w:rPr>
                <w:rFonts w:ascii="Arial" w:eastAsia="Arial" w:hAnsi="Arial" w:cs="Arial"/>
                <w:sz w:val="20"/>
                <w:szCs w:val="20"/>
              </w:rPr>
            </w:pPr>
            <w:r>
              <w:rPr>
                <w:rFonts w:ascii="Arial" w:eastAsia="Arial" w:hAnsi="Arial" w:cs="Arial"/>
                <w:sz w:val="20"/>
                <w:szCs w:val="20"/>
              </w:rPr>
              <w:t>Planowany</w:t>
            </w:r>
          </w:p>
        </w:tc>
      </w:tr>
      <w:tr w:rsidR="00A31208" w14:paraId="062D271F"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2CFED455" w14:textId="77777777" w:rsidR="00A31208" w:rsidRDefault="00E421FE">
            <w:pPr>
              <w:spacing w:before="240"/>
              <w:jc w:val="center"/>
              <w:rPr>
                <w:rFonts w:ascii="Arial" w:eastAsia="Arial" w:hAnsi="Arial" w:cs="Arial"/>
                <w:sz w:val="20"/>
                <w:szCs w:val="20"/>
              </w:rPr>
            </w:pPr>
            <w:r>
              <w:rPr>
                <w:rFonts w:ascii="Arial" w:eastAsia="Arial" w:hAnsi="Arial" w:cs="Arial"/>
                <w:sz w:val="20"/>
                <w:szCs w:val="20"/>
              </w:rPr>
              <w:t>Przeprowadzone przez wykonawcę systemu informatycznego konferencje dla ok. 6 500 egzaminatorów egzaminu ósmoklasisty z matematyki, języka angielskiego, biologii, chemii, fizyki, geografii i historii</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7249EFD" w14:textId="77777777" w:rsidR="00A31208" w:rsidRDefault="00A31208">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CC1731C" w14:textId="1C6143E6" w:rsidR="00A31208" w:rsidRDefault="00E421FE" w:rsidP="00B6395B">
            <w:pPr>
              <w:spacing w:before="240"/>
              <w:jc w:val="center"/>
              <w:rPr>
                <w:rFonts w:ascii="Arial" w:eastAsia="Arial" w:hAnsi="Arial" w:cs="Arial"/>
                <w:sz w:val="20"/>
                <w:szCs w:val="20"/>
              </w:rPr>
            </w:pPr>
            <w:r>
              <w:rPr>
                <w:rFonts w:ascii="Arial" w:eastAsia="Arial" w:hAnsi="Arial" w:cs="Arial"/>
                <w:sz w:val="20"/>
                <w:szCs w:val="20"/>
              </w:rPr>
              <w:t>05-2022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C469AF3" w14:textId="1ED71968" w:rsidR="00A31208" w:rsidRDefault="00A31208" w:rsidP="00B6395B">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5526D05" w14:textId="11274160" w:rsidR="00A31208" w:rsidRDefault="00676FC0" w:rsidP="00B6395B">
            <w:pPr>
              <w:spacing w:before="240"/>
              <w:jc w:val="center"/>
              <w:rPr>
                <w:rFonts w:ascii="Arial" w:eastAsia="Arial" w:hAnsi="Arial" w:cs="Arial"/>
                <w:sz w:val="20"/>
                <w:szCs w:val="20"/>
              </w:rPr>
            </w:pPr>
            <w:r>
              <w:rPr>
                <w:rFonts w:ascii="Arial" w:eastAsia="Arial" w:hAnsi="Arial" w:cs="Arial"/>
                <w:sz w:val="20"/>
                <w:szCs w:val="20"/>
              </w:rPr>
              <w:t>Planowany</w:t>
            </w:r>
          </w:p>
        </w:tc>
      </w:tr>
    </w:tbl>
    <w:p w14:paraId="0D427C9F" w14:textId="77777777" w:rsidR="00A31208" w:rsidRDefault="00A31208">
      <w:pPr>
        <w:spacing w:before="240" w:after="120"/>
        <w:rPr>
          <w:rFonts w:ascii="Arial" w:eastAsia="Arial" w:hAnsi="Arial" w:cs="Arial"/>
          <w:b/>
          <w:sz w:val="20"/>
          <w:szCs w:val="20"/>
        </w:rPr>
      </w:pPr>
    </w:p>
    <w:p w14:paraId="4AB3A79E" w14:textId="77777777" w:rsidR="00A31208" w:rsidRDefault="00E421FE">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2"/>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35"/>
        <w:gridCol w:w="2790"/>
      </w:tblGrid>
      <w:tr w:rsidR="00A31208" w14:paraId="3FBB2337"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693239A7" w14:textId="77777777" w:rsidR="00A31208" w:rsidRDefault="00E421FE">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6DAB307" w14:textId="77777777" w:rsidR="00A31208" w:rsidRDefault="00E421FE">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F12FAF2" w14:textId="77777777" w:rsidR="00A31208" w:rsidRDefault="00E421FE">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3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2631E2DE" w14:textId="77777777" w:rsidR="00A31208" w:rsidRDefault="00E421FE">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279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62D92707" w14:textId="77777777" w:rsidR="00A31208" w:rsidRDefault="00E421FE">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A31208" w14:paraId="6CEB487F"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389C24" w14:textId="77777777" w:rsidR="00A31208" w:rsidRDefault="00E421FE">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8CB0717" w14:textId="77777777" w:rsidR="00A31208" w:rsidRDefault="00E421FE">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FDBDA7E" w14:textId="77777777" w:rsidR="00A31208" w:rsidRDefault="00E421FE">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059E525" w14:textId="77777777" w:rsidR="00A31208" w:rsidRDefault="00810AA1">
            <w:pPr>
              <w:spacing w:before="240" w:line="276" w:lineRule="auto"/>
              <w:jc w:val="center"/>
              <w:rPr>
                <w:rFonts w:ascii="Arial" w:eastAsia="Arial" w:hAnsi="Arial" w:cs="Arial"/>
                <w:sz w:val="20"/>
                <w:szCs w:val="20"/>
              </w:rPr>
            </w:pPr>
            <w:r>
              <w:rPr>
                <w:rFonts w:ascii="Arial" w:eastAsia="Arial" w:hAnsi="Arial" w:cs="Arial"/>
                <w:sz w:val="20"/>
                <w:szCs w:val="20"/>
              </w:rPr>
              <w:t xml:space="preserve"> 06</w:t>
            </w:r>
            <w:r w:rsidR="00E421FE">
              <w:rPr>
                <w:rFonts w:ascii="Arial" w:eastAsia="Arial" w:hAnsi="Arial" w:cs="Arial"/>
                <w:sz w:val="20"/>
                <w:szCs w:val="20"/>
              </w:rPr>
              <w:t>-2022</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3B8A052" w14:textId="77777777" w:rsidR="00A31208" w:rsidRDefault="00E421FE">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A31208" w14:paraId="2B4A1461"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4920C2" w14:textId="77777777" w:rsidR="00A31208" w:rsidRDefault="00E421FE">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57A6641" w14:textId="77777777" w:rsidR="00A31208" w:rsidRDefault="00E421FE">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3B192CB" w14:textId="77777777" w:rsidR="00A31208" w:rsidRDefault="00E421FE">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E596504" w14:textId="77777777" w:rsidR="00A31208" w:rsidRDefault="00810AA1">
            <w:pPr>
              <w:spacing w:before="240" w:line="276" w:lineRule="auto"/>
              <w:jc w:val="center"/>
              <w:rPr>
                <w:rFonts w:ascii="Arial" w:eastAsia="Arial" w:hAnsi="Arial" w:cs="Arial"/>
                <w:sz w:val="20"/>
                <w:szCs w:val="20"/>
              </w:rPr>
            </w:pPr>
            <w:r>
              <w:rPr>
                <w:rFonts w:ascii="Arial" w:eastAsia="Arial" w:hAnsi="Arial" w:cs="Arial"/>
                <w:sz w:val="20"/>
                <w:szCs w:val="20"/>
              </w:rPr>
              <w:t xml:space="preserve"> 05</w:t>
            </w:r>
            <w:r w:rsidR="00E421FE">
              <w:rPr>
                <w:rFonts w:ascii="Arial" w:eastAsia="Arial" w:hAnsi="Arial" w:cs="Arial"/>
                <w:sz w:val="20"/>
                <w:szCs w:val="20"/>
              </w:rPr>
              <w:t>-2022</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6851A2D" w14:textId="77777777" w:rsidR="00A31208" w:rsidRDefault="00E421FE">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A31208" w14:paraId="7C4DFBCE" w14:textId="77777777" w:rsidTr="00676FC0">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53FC9385" w14:textId="77777777" w:rsidR="00A31208" w:rsidRDefault="00E421FE">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lastRenderedPageBreak/>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1BB43DB2" w14:textId="77777777" w:rsidR="00A31208" w:rsidRDefault="00E421FE">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6CAF8A1D" w14:textId="77777777" w:rsidR="00A31208" w:rsidRDefault="00E421FE">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35" w:type="dxa"/>
            <w:tcBorders>
              <w:top w:val="nil"/>
              <w:left w:val="nil"/>
              <w:bottom w:val="nil"/>
              <w:right w:val="single" w:sz="8" w:space="0" w:color="000000"/>
            </w:tcBorders>
            <w:tcMar>
              <w:top w:w="100" w:type="dxa"/>
              <w:left w:w="100" w:type="dxa"/>
              <w:bottom w:w="100" w:type="dxa"/>
              <w:right w:w="100" w:type="dxa"/>
            </w:tcMar>
            <w:vAlign w:val="center"/>
          </w:tcPr>
          <w:p w14:paraId="25525A12" w14:textId="77777777" w:rsidR="00A31208" w:rsidRDefault="00810AA1">
            <w:pPr>
              <w:spacing w:before="240" w:line="276" w:lineRule="auto"/>
              <w:jc w:val="center"/>
              <w:rPr>
                <w:rFonts w:ascii="Arial" w:eastAsia="Arial" w:hAnsi="Arial" w:cs="Arial"/>
                <w:sz w:val="20"/>
                <w:szCs w:val="20"/>
              </w:rPr>
            </w:pPr>
            <w:r>
              <w:rPr>
                <w:rFonts w:ascii="Arial" w:eastAsia="Arial" w:hAnsi="Arial" w:cs="Arial"/>
                <w:sz w:val="20"/>
                <w:szCs w:val="20"/>
              </w:rPr>
              <w:t xml:space="preserve"> 05</w:t>
            </w:r>
            <w:r w:rsidR="00E421FE">
              <w:rPr>
                <w:rFonts w:ascii="Arial" w:eastAsia="Arial" w:hAnsi="Arial" w:cs="Arial"/>
                <w:sz w:val="20"/>
                <w:szCs w:val="20"/>
              </w:rPr>
              <w:t>-2022</w:t>
            </w:r>
          </w:p>
        </w:tc>
        <w:tc>
          <w:tcPr>
            <w:tcW w:w="2790" w:type="dxa"/>
            <w:tcBorders>
              <w:top w:val="nil"/>
              <w:left w:val="nil"/>
              <w:bottom w:val="nil"/>
              <w:right w:val="single" w:sz="8" w:space="0" w:color="000000"/>
            </w:tcBorders>
            <w:tcMar>
              <w:top w:w="100" w:type="dxa"/>
              <w:left w:w="100" w:type="dxa"/>
              <w:bottom w:w="100" w:type="dxa"/>
              <w:right w:w="100" w:type="dxa"/>
            </w:tcMar>
            <w:vAlign w:val="center"/>
          </w:tcPr>
          <w:p w14:paraId="63562ECB" w14:textId="77777777" w:rsidR="00A31208" w:rsidRDefault="00E421FE">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676FC0" w14:paraId="65472D93"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F0FF64" w14:textId="2C2862BD" w:rsidR="00676FC0" w:rsidRDefault="00676FC0">
            <w:pPr>
              <w:spacing w:before="100" w:after="200" w:line="276" w:lineRule="auto"/>
              <w:ind w:firstLine="20"/>
              <w:jc w:val="center"/>
              <w:rPr>
                <w:rFonts w:ascii="Arial" w:eastAsia="Arial" w:hAnsi="Arial" w:cs="Arial"/>
                <w:sz w:val="20"/>
                <w:szCs w:val="20"/>
              </w:rPr>
            </w:pPr>
            <w:r w:rsidRPr="00676FC0">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6826949" w14:textId="2460BCB0" w:rsidR="00676FC0" w:rsidRDefault="00676FC0">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40DD3B6" w14:textId="2E33761E" w:rsidR="00676FC0" w:rsidRDefault="00676FC0">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17FBDD0" w14:textId="07472FFF" w:rsidR="00676FC0" w:rsidRDefault="00676FC0">
            <w:pPr>
              <w:spacing w:before="240" w:line="276" w:lineRule="auto"/>
              <w:jc w:val="center"/>
              <w:rPr>
                <w:rFonts w:ascii="Arial" w:eastAsia="Arial" w:hAnsi="Arial" w:cs="Arial"/>
                <w:sz w:val="20"/>
                <w:szCs w:val="20"/>
              </w:rPr>
            </w:pPr>
            <w:r>
              <w:rPr>
                <w:rFonts w:ascii="Arial" w:eastAsia="Arial" w:hAnsi="Arial" w:cs="Arial"/>
                <w:sz w:val="20"/>
                <w:szCs w:val="20"/>
              </w:rPr>
              <w:t>06-</w:t>
            </w:r>
            <w:bookmarkStart w:id="2" w:name="_GoBack"/>
            <w:bookmarkEnd w:id="2"/>
            <w:r>
              <w:rPr>
                <w:rFonts w:ascii="Arial" w:eastAsia="Arial" w:hAnsi="Arial" w:cs="Arial"/>
                <w:sz w:val="20"/>
                <w:szCs w:val="20"/>
              </w:rPr>
              <w:t>2022</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CA1C673" w14:textId="51090DF8" w:rsidR="00676FC0" w:rsidRDefault="00676FC0">
            <w:pPr>
              <w:spacing w:before="240" w:line="276" w:lineRule="auto"/>
              <w:jc w:val="center"/>
              <w:rPr>
                <w:rFonts w:ascii="Arial" w:eastAsia="Arial" w:hAnsi="Arial" w:cs="Arial"/>
                <w:sz w:val="20"/>
                <w:szCs w:val="20"/>
              </w:rPr>
            </w:pPr>
            <w:r>
              <w:rPr>
                <w:rFonts w:ascii="Arial" w:eastAsia="Arial" w:hAnsi="Arial" w:cs="Arial"/>
                <w:sz w:val="20"/>
                <w:szCs w:val="20"/>
              </w:rPr>
              <w:t>0</w:t>
            </w:r>
          </w:p>
        </w:tc>
      </w:tr>
    </w:tbl>
    <w:p w14:paraId="56C21AC6" w14:textId="77777777" w:rsidR="00A31208" w:rsidRDefault="00E421FE" w:rsidP="00676FC0">
      <w:pPr>
        <w:pStyle w:val="Nagwek2"/>
        <w:numPr>
          <w:ilvl w:val="0"/>
          <w:numId w:val="2"/>
        </w:numPr>
        <w:spacing w:before="360" w:after="120"/>
        <w:ind w:left="426" w:hanging="426"/>
        <w:rPr>
          <w:rFonts w:ascii="Arial" w:eastAsia="Arial" w:hAnsi="Arial" w:cs="Arial"/>
        </w:rPr>
      </w:pPr>
      <w:bookmarkStart w:id="3" w:name="_1fob9te" w:colFirst="0" w:colLast="0"/>
      <w:bookmarkEnd w:id="3"/>
      <w:r>
        <w:rPr>
          <w:rFonts w:ascii="Arial" w:eastAsia="Arial" w:hAnsi="Arial" w:cs="Arial"/>
          <w:b/>
          <w:color w:val="000000"/>
          <w:sz w:val="24"/>
          <w:szCs w:val="24"/>
        </w:rPr>
        <w:t>E-usługi A2A, A2B, A2C</w:t>
      </w:r>
    </w:p>
    <w:p w14:paraId="6F8A1164" w14:textId="77777777" w:rsidR="00A31208" w:rsidRDefault="00A31208"/>
    <w:tbl>
      <w:tblPr>
        <w:tblStyle w:val="a3"/>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365"/>
        <w:gridCol w:w="1425"/>
        <w:gridCol w:w="4110"/>
      </w:tblGrid>
      <w:tr w:rsidR="00A31208" w14:paraId="178E6464" w14:textId="77777777">
        <w:trPr>
          <w:jc w:val="center"/>
        </w:trPr>
        <w:tc>
          <w:tcPr>
            <w:tcW w:w="3039" w:type="dxa"/>
            <w:shd w:val="clear" w:color="auto" w:fill="D0CECE"/>
            <w:vAlign w:val="center"/>
          </w:tcPr>
          <w:p w14:paraId="1ECA2603" w14:textId="77777777" w:rsidR="00A31208" w:rsidRDefault="00E421FE">
            <w:pPr>
              <w:jc w:val="center"/>
              <w:rPr>
                <w:rFonts w:ascii="Arial" w:eastAsia="Arial" w:hAnsi="Arial" w:cs="Arial"/>
                <w:b/>
                <w:sz w:val="20"/>
                <w:szCs w:val="20"/>
              </w:rPr>
            </w:pPr>
            <w:r>
              <w:rPr>
                <w:rFonts w:ascii="Arial" w:eastAsia="Arial" w:hAnsi="Arial" w:cs="Arial"/>
                <w:b/>
                <w:sz w:val="20"/>
                <w:szCs w:val="20"/>
              </w:rPr>
              <w:t>Nazwa</w:t>
            </w:r>
          </w:p>
        </w:tc>
        <w:tc>
          <w:tcPr>
            <w:tcW w:w="1365" w:type="dxa"/>
            <w:shd w:val="clear" w:color="auto" w:fill="D0CECE"/>
            <w:vAlign w:val="center"/>
          </w:tcPr>
          <w:p w14:paraId="4C20FE28" w14:textId="77777777" w:rsidR="00A31208" w:rsidRDefault="00E421FE">
            <w:pPr>
              <w:jc w:val="center"/>
              <w:rPr>
                <w:rFonts w:ascii="Arial" w:eastAsia="Arial" w:hAnsi="Arial" w:cs="Arial"/>
                <w:b/>
                <w:sz w:val="20"/>
                <w:szCs w:val="20"/>
              </w:rPr>
            </w:pPr>
            <w:r>
              <w:rPr>
                <w:rFonts w:ascii="Arial" w:eastAsia="Arial" w:hAnsi="Arial" w:cs="Arial"/>
                <w:b/>
                <w:sz w:val="20"/>
                <w:szCs w:val="20"/>
              </w:rPr>
              <w:t>Planowana data wdrożenia</w:t>
            </w:r>
          </w:p>
        </w:tc>
        <w:tc>
          <w:tcPr>
            <w:tcW w:w="1425" w:type="dxa"/>
            <w:shd w:val="clear" w:color="auto" w:fill="D0CECE"/>
          </w:tcPr>
          <w:p w14:paraId="28C31FCC" w14:textId="77777777" w:rsidR="00A31208" w:rsidRDefault="00E421FE">
            <w:pPr>
              <w:jc w:val="center"/>
              <w:rPr>
                <w:rFonts w:ascii="Arial" w:eastAsia="Arial" w:hAnsi="Arial" w:cs="Arial"/>
                <w:b/>
                <w:sz w:val="20"/>
                <w:szCs w:val="20"/>
              </w:rPr>
            </w:pPr>
            <w:r>
              <w:rPr>
                <w:rFonts w:ascii="Arial" w:eastAsia="Arial" w:hAnsi="Arial" w:cs="Arial"/>
                <w:b/>
                <w:sz w:val="20"/>
                <w:szCs w:val="20"/>
              </w:rPr>
              <w:t>Rzeczywista data wdrożenia</w:t>
            </w:r>
          </w:p>
        </w:tc>
        <w:tc>
          <w:tcPr>
            <w:tcW w:w="4110" w:type="dxa"/>
            <w:shd w:val="clear" w:color="auto" w:fill="D0CECE"/>
            <w:vAlign w:val="center"/>
          </w:tcPr>
          <w:p w14:paraId="60A791BA" w14:textId="77777777" w:rsidR="00A31208" w:rsidRDefault="00E421FE">
            <w:pPr>
              <w:jc w:val="center"/>
              <w:rPr>
                <w:rFonts w:ascii="Arial" w:eastAsia="Arial" w:hAnsi="Arial" w:cs="Arial"/>
                <w:b/>
                <w:sz w:val="20"/>
                <w:szCs w:val="20"/>
              </w:rPr>
            </w:pPr>
            <w:r>
              <w:rPr>
                <w:rFonts w:ascii="Arial" w:eastAsia="Arial" w:hAnsi="Arial" w:cs="Arial"/>
                <w:b/>
                <w:sz w:val="20"/>
                <w:szCs w:val="20"/>
              </w:rPr>
              <w:t>Opis zmian</w:t>
            </w:r>
          </w:p>
        </w:tc>
      </w:tr>
      <w:tr w:rsidR="00A31208" w14:paraId="60FAD1BC" w14:textId="77777777">
        <w:trPr>
          <w:jc w:val="center"/>
        </w:trPr>
        <w:tc>
          <w:tcPr>
            <w:tcW w:w="3039" w:type="dxa"/>
            <w:vAlign w:val="center"/>
          </w:tcPr>
          <w:p w14:paraId="4CADFF4F" w14:textId="77777777" w:rsidR="00A31208" w:rsidRDefault="00E421FE">
            <w:pPr>
              <w:jc w:val="center"/>
              <w:rPr>
                <w:rFonts w:ascii="Arial" w:eastAsia="Arial" w:hAnsi="Arial" w:cs="Arial"/>
                <w:sz w:val="20"/>
                <w:szCs w:val="20"/>
              </w:rPr>
            </w:pPr>
            <w:r>
              <w:rPr>
                <w:rFonts w:ascii="Arial" w:eastAsia="Arial" w:hAnsi="Arial" w:cs="Arial"/>
                <w:sz w:val="20"/>
                <w:szCs w:val="20"/>
              </w:rPr>
              <w:t>nie dotyczy</w:t>
            </w:r>
          </w:p>
        </w:tc>
        <w:tc>
          <w:tcPr>
            <w:tcW w:w="1365" w:type="dxa"/>
          </w:tcPr>
          <w:p w14:paraId="4A284F44" w14:textId="77777777" w:rsidR="00A31208" w:rsidRDefault="00A31208">
            <w:pPr>
              <w:rPr>
                <w:rFonts w:ascii="Arial" w:eastAsia="Arial" w:hAnsi="Arial" w:cs="Arial"/>
                <w:sz w:val="18"/>
                <w:szCs w:val="18"/>
              </w:rPr>
            </w:pPr>
          </w:p>
        </w:tc>
        <w:tc>
          <w:tcPr>
            <w:tcW w:w="1425" w:type="dxa"/>
          </w:tcPr>
          <w:p w14:paraId="0775CE2E" w14:textId="77777777" w:rsidR="00A31208" w:rsidRDefault="00A31208">
            <w:pPr>
              <w:jc w:val="center"/>
              <w:rPr>
                <w:rFonts w:ascii="Arial" w:eastAsia="Arial" w:hAnsi="Arial" w:cs="Arial"/>
                <w:sz w:val="18"/>
                <w:szCs w:val="18"/>
              </w:rPr>
            </w:pPr>
          </w:p>
        </w:tc>
        <w:tc>
          <w:tcPr>
            <w:tcW w:w="4110" w:type="dxa"/>
          </w:tcPr>
          <w:p w14:paraId="4D737275" w14:textId="77777777" w:rsidR="00A31208" w:rsidRDefault="00A31208">
            <w:pPr>
              <w:jc w:val="center"/>
              <w:rPr>
                <w:rFonts w:ascii="Arial" w:eastAsia="Arial" w:hAnsi="Arial" w:cs="Arial"/>
                <w:sz w:val="18"/>
                <w:szCs w:val="18"/>
              </w:rPr>
            </w:pPr>
          </w:p>
        </w:tc>
      </w:tr>
    </w:tbl>
    <w:p w14:paraId="114D1455" w14:textId="77777777" w:rsidR="00A31208" w:rsidRDefault="00E421FE" w:rsidP="00676FC0">
      <w:pPr>
        <w:pStyle w:val="Nagwek2"/>
        <w:numPr>
          <w:ilvl w:val="0"/>
          <w:numId w:val="2"/>
        </w:numPr>
        <w:spacing w:before="360" w:line="240" w:lineRule="auto"/>
        <w:ind w:left="284" w:hanging="284"/>
        <w:rPr>
          <w:rFonts w:ascii="Arial" w:eastAsia="Arial" w:hAnsi="Arial" w:cs="Arial"/>
          <w:sz w:val="20"/>
          <w:szCs w:val="20"/>
        </w:rPr>
      </w:pPr>
      <w:r>
        <w:rPr>
          <w:rFonts w:ascii="Arial" w:eastAsia="Arial" w:hAnsi="Arial" w:cs="Arial"/>
          <w:b/>
          <w:color w:val="000000"/>
          <w:sz w:val="24"/>
          <w:szCs w:val="24"/>
        </w:rPr>
        <w:t xml:space="preserve">Udostępnione informacje sektora publicznego i </w:t>
      </w:r>
      <w:proofErr w:type="spellStart"/>
      <w:r>
        <w:rPr>
          <w:rFonts w:ascii="Arial" w:eastAsia="Arial" w:hAnsi="Arial" w:cs="Arial"/>
          <w:b/>
          <w:color w:val="000000"/>
          <w:sz w:val="24"/>
          <w:szCs w:val="24"/>
        </w:rPr>
        <w:t>zdigitalizowane</w:t>
      </w:r>
      <w:proofErr w:type="spellEnd"/>
      <w:r>
        <w:rPr>
          <w:rFonts w:ascii="Arial" w:eastAsia="Arial" w:hAnsi="Arial" w:cs="Arial"/>
          <w:b/>
          <w:color w:val="000000"/>
          <w:sz w:val="24"/>
          <w:szCs w:val="24"/>
        </w:rPr>
        <w:t xml:space="preserve"> zasoby</w:t>
      </w:r>
      <w:r>
        <w:rPr>
          <w:rFonts w:ascii="Arial" w:eastAsia="Arial" w:hAnsi="Arial" w:cs="Arial"/>
          <w:b/>
          <w:color w:val="000000"/>
        </w:rPr>
        <w:t xml:space="preserve"> </w:t>
      </w:r>
    </w:p>
    <w:p w14:paraId="5511BE18" w14:textId="77777777" w:rsidR="00A31208" w:rsidRDefault="00A31208"/>
    <w:tbl>
      <w:tblPr>
        <w:tblStyle w:val="a4"/>
        <w:tblW w:w="97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311"/>
        <w:gridCol w:w="1417"/>
        <w:gridCol w:w="3969"/>
      </w:tblGrid>
      <w:tr w:rsidR="00A31208" w14:paraId="13FABB2A" w14:textId="77777777">
        <w:trPr>
          <w:jc w:val="center"/>
        </w:trPr>
        <w:tc>
          <w:tcPr>
            <w:tcW w:w="3089" w:type="dxa"/>
            <w:shd w:val="clear" w:color="auto" w:fill="D0CECE"/>
            <w:vAlign w:val="center"/>
          </w:tcPr>
          <w:p w14:paraId="24B687EC" w14:textId="77777777" w:rsidR="00A31208" w:rsidRDefault="00E421FE">
            <w:pPr>
              <w:jc w:val="center"/>
              <w:rPr>
                <w:rFonts w:ascii="Arial" w:eastAsia="Arial" w:hAnsi="Arial" w:cs="Arial"/>
                <w:b/>
                <w:sz w:val="20"/>
                <w:szCs w:val="20"/>
              </w:rPr>
            </w:pPr>
            <w:r>
              <w:rPr>
                <w:rFonts w:ascii="Arial" w:eastAsia="Arial" w:hAnsi="Arial" w:cs="Arial"/>
                <w:b/>
                <w:sz w:val="20"/>
                <w:szCs w:val="20"/>
              </w:rPr>
              <w:t>Nazwa</w:t>
            </w:r>
          </w:p>
        </w:tc>
        <w:tc>
          <w:tcPr>
            <w:tcW w:w="1311" w:type="dxa"/>
            <w:shd w:val="clear" w:color="auto" w:fill="D0CECE"/>
            <w:vAlign w:val="center"/>
          </w:tcPr>
          <w:p w14:paraId="09891D1D" w14:textId="77777777" w:rsidR="00A31208" w:rsidRDefault="00E421FE">
            <w:pPr>
              <w:jc w:val="center"/>
              <w:rPr>
                <w:rFonts w:ascii="Arial" w:eastAsia="Arial" w:hAnsi="Arial" w:cs="Arial"/>
                <w:b/>
                <w:sz w:val="20"/>
                <w:szCs w:val="20"/>
              </w:rPr>
            </w:pPr>
            <w:r>
              <w:rPr>
                <w:rFonts w:ascii="Arial" w:eastAsia="Arial" w:hAnsi="Arial" w:cs="Arial"/>
                <w:b/>
                <w:sz w:val="20"/>
                <w:szCs w:val="20"/>
              </w:rPr>
              <w:t>Planowana data wdrożenia</w:t>
            </w:r>
          </w:p>
        </w:tc>
        <w:tc>
          <w:tcPr>
            <w:tcW w:w="1417" w:type="dxa"/>
            <w:shd w:val="clear" w:color="auto" w:fill="D0CECE"/>
          </w:tcPr>
          <w:p w14:paraId="6C2E93BC" w14:textId="77777777" w:rsidR="00A31208" w:rsidRDefault="00E421FE">
            <w:pPr>
              <w:jc w:val="center"/>
              <w:rPr>
                <w:rFonts w:ascii="Arial" w:eastAsia="Arial" w:hAnsi="Arial" w:cs="Arial"/>
                <w:b/>
                <w:sz w:val="20"/>
                <w:szCs w:val="20"/>
              </w:rPr>
            </w:pPr>
            <w:r>
              <w:rPr>
                <w:rFonts w:ascii="Arial" w:eastAsia="Arial" w:hAnsi="Arial" w:cs="Arial"/>
                <w:b/>
                <w:sz w:val="20"/>
                <w:szCs w:val="20"/>
              </w:rPr>
              <w:t>Rzeczywista data wdrożenia</w:t>
            </w:r>
          </w:p>
        </w:tc>
        <w:tc>
          <w:tcPr>
            <w:tcW w:w="3969" w:type="dxa"/>
            <w:shd w:val="clear" w:color="auto" w:fill="D0CECE"/>
            <w:vAlign w:val="center"/>
          </w:tcPr>
          <w:p w14:paraId="51E687F6" w14:textId="77777777" w:rsidR="00A31208" w:rsidRDefault="00E421FE">
            <w:pPr>
              <w:jc w:val="center"/>
              <w:rPr>
                <w:rFonts w:ascii="Arial" w:eastAsia="Arial" w:hAnsi="Arial" w:cs="Arial"/>
                <w:b/>
                <w:sz w:val="20"/>
                <w:szCs w:val="20"/>
              </w:rPr>
            </w:pPr>
            <w:r>
              <w:rPr>
                <w:rFonts w:ascii="Arial" w:eastAsia="Arial" w:hAnsi="Arial" w:cs="Arial"/>
                <w:b/>
                <w:sz w:val="20"/>
                <w:szCs w:val="20"/>
              </w:rPr>
              <w:t>Opis zmian</w:t>
            </w:r>
          </w:p>
        </w:tc>
      </w:tr>
      <w:tr w:rsidR="00A31208" w14:paraId="629A1AF0" w14:textId="77777777">
        <w:trPr>
          <w:jc w:val="center"/>
        </w:trPr>
        <w:tc>
          <w:tcPr>
            <w:tcW w:w="3089" w:type="dxa"/>
            <w:vAlign w:val="center"/>
          </w:tcPr>
          <w:p w14:paraId="14EB0916" w14:textId="77777777" w:rsidR="00A31208" w:rsidRDefault="00E421FE">
            <w:pPr>
              <w:jc w:val="center"/>
              <w:rPr>
                <w:rFonts w:ascii="Arial" w:eastAsia="Arial" w:hAnsi="Arial" w:cs="Arial"/>
                <w:sz w:val="18"/>
                <w:szCs w:val="18"/>
              </w:rPr>
            </w:pPr>
            <w:r>
              <w:rPr>
                <w:rFonts w:ascii="Arial" w:eastAsia="Arial" w:hAnsi="Arial" w:cs="Arial"/>
                <w:sz w:val="20"/>
                <w:szCs w:val="20"/>
              </w:rPr>
              <w:t>nie dotyczy</w:t>
            </w:r>
          </w:p>
        </w:tc>
        <w:tc>
          <w:tcPr>
            <w:tcW w:w="1311" w:type="dxa"/>
            <w:vAlign w:val="center"/>
          </w:tcPr>
          <w:p w14:paraId="17C847C4" w14:textId="77777777" w:rsidR="00A31208" w:rsidRDefault="00A31208">
            <w:pPr>
              <w:rPr>
                <w:rFonts w:ascii="Arial" w:eastAsia="Arial" w:hAnsi="Arial" w:cs="Arial"/>
                <w:sz w:val="18"/>
                <w:szCs w:val="18"/>
              </w:rPr>
            </w:pPr>
          </w:p>
        </w:tc>
        <w:tc>
          <w:tcPr>
            <w:tcW w:w="1417" w:type="dxa"/>
            <w:vAlign w:val="center"/>
          </w:tcPr>
          <w:p w14:paraId="7975FB92" w14:textId="77777777" w:rsidR="00A31208" w:rsidRDefault="00A31208">
            <w:pPr>
              <w:rPr>
                <w:rFonts w:ascii="Arial" w:eastAsia="Arial" w:hAnsi="Arial" w:cs="Arial"/>
                <w:sz w:val="18"/>
                <w:szCs w:val="18"/>
              </w:rPr>
            </w:pPr>
          </w:p>
        </w:tc>
        <w:tc>
          <w:tcPr>
            <w:tcW w:w="3969" w:type="dxa"/>
            <w:vAlign w:val="center"/>
          </w:tcPr>
          <w:p w14:paraId="3E411A48" w14:textId="77777777" w:rsidR="00A31208" w:rsidRDefault="00A31208">
            <w:pPr>
              <w:rPr>
                <w:rFonts w:ascii="Arial" w:eastAsia="Arial" w:hAnsi="Arial" w:cs="Arial"/>
                <w:sz w:val="18"/>
                <w:szCs w:val="18"/>
              </w:rPr>
            </w:pPr>
          </w:p>
        </w:tc>
      </w:tr>
    </w:tbl>
    <w:p w14:paraId="4D0860C6" w14:textId="77777777" w:rsidR="00A31208" w:rsidRDefault="00E421FE" w:rsidP="00676FC0">
      <w:pPr>
        <w:pStyle w:val="Nagwek3"/>
        <w:numPr>
          <w:ilvl w:val="0"/>
          <w:numId w:val="2"/>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557561DF" w14:textId="77777777" w:rsidR="00A31208" w:rsidRDefault="00A31208"/>
    <w:tbl>
      <w:tblPr>
        <w:tblStyle w:val="a5"/>
        <w:tblW w:w="992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1701"/>
        <w:gridCol w:w="1843"/>
        <w:gridCol w:w="3543"/>
      </w:tblGrid>
      <w:tr w:rsidR="00A31208" w14:paraId="2DE84140" w14:textId="77777777">
        <w:tc>
          <w:tcPr>
            <w:tcW w:w="2835" w:type="dxa"/>
            <w:shd w:val="clear" w:color="auto" w:fill="D0CECE"/>
            <w:vAlign w:val="center"/>
          </w:tcPr>
          <w:p w14:paraId="13388EF7" w14:textId="77777777" w:rsidR="00A31208" w:rsidRDefault="00E421FE">
            <w:pPr>
              <w:jc w:val="center"/>
              <w:rPr>
                <w:rFonts w:ascii="Arial" w:eastAsia="Arial" w:hAnsi="Arial" w:cs="Arial"/>
                <w:b/>
                <w:sz w:val="20"/>
                <w:szCs w:val="20"/>
              </w:rPr>
            </w:pPr>
            <w:r>
              <w:rPr>
                <w:rFonts w:ascii="Arial" w:eastAsia="Arial" w:hAnsi="Arial" w:cs="Arial"/>
                <w:b/>
                <w:sz w:val="20"/>
                <w:szCs w:val="20"/>
              </w:rPr>
              <w:t>Nazwa produktu</w:t>
            </w:r>
          </w:p>
        </w:tc>
        <w:tc>
          <w:tcPr>
            <w:tcW w:w="1701" w:type="dxa"/>
            <w:shd w:val="clear" w:color="auto" w:fill="D0CECE"/>
            <w:vAlign w:val="center"/>
          </w:tcPr>
          <w:p w14:paraId="7BD1633B" w14:textId="77777777" w:rsidR="00A31208" w:rsidRDefault="00E421FE">
            <w:pPr>
              <w:jc w:val="center"/>
              <w:rPr>
                <w:rFonts w:ascii="Arial" w:eastAsia="Arial" w:hAnsi="Arial" w:cs="Arial"/>
                <w:b/>
                <w:sz w:val="20"/>
                <w:szCs w:val="20"/>
              </w:rPr>
            </w:pPr>
            <w:r>
              <w:rPr>
                <w:rFonts w:ascii="Arial" w:eastAsia="Arial" w:hAnsi="Arial" w:cs="Arial"/>
                <w:b/>
                <w:sz w:val="20"/>
                <w:szCs w:val="20"/>
              </w:rPr>
              <w:t>Planowana data wdrożenia</w:t>
            </w:r>
          </w:p>
        </w:tc>
        <w:tc>
          <w:tcPr>
            <w:tcW w:w="1843" w:type="dxa"/>
            <w:shd w:val="clear" w:color="auto" w:fill="D0CECE"/>
            <w:vAlign w:val="center"/>
          </w:tcPr>
          <w:p w14:paraId="2AD8D5E8" w14:textId="77777777" w:rsidR="00A31208" w:rsidRDefault="00E421FE">
            <w:pPr>
              <w:jc w:val="center"/>
              <w:rPr>
                <w:rFonts w:ascii="Arial" w:eastAsia="Arial" w:hAnsi="Arial" w:cs="Arial"/>
                <w:b/>
                <w:sz w:val="20"/>
                <w:szCs w:val="20"/>
              </w:rPr>
            </w:pPr>
            <w:r>
              <w:rPr>
                <w:rFonts w:ascii="Arial" w:eastAsia="Arial" w:hAnsi="Arial" w:cs="Arial"/>
                <w:b/>
                <w:sz w:val="20"/>
                <w:szCs w:val="20"/>
              </w:rPr>
              <w:t>Rzeczywista data wdrożenia</w:t>
            </w:r>
          </w:p>
        </w:tc>
        <w:tc>
          <w:tcPr>
            <w:tcW w:w="3543" w:type="dxa"/>
            <w:shd w:val="clear" w:color="auto" w:fill="D0CECE"/>
            <w:vAlign w:val="center"/>
          </w:tcPr>
          <w:p w14:paraId="5B92E857" w14:textId="77777777" w:rsidR="00A31208" w:rsidRDefault="00E421FE">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C420C2" w14:paraId="4D353718" w14:textId="77777777">
        <w:tc>
          <w:tcPr>
            <w:tcW w:w="2835" w:type="dxa"/>
            <w:vAlign w:val="center"/>
          </w:tcPr>
          <w:p w14:paraId="7B61A5A4" w14:textId="77777777"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t>Moduły nowego systemu do zdalnego oceniania prac egzaminacyjnych,</w:t>
            </w:r>
          </w:p>
          <w:p w14:paraId="6C1C72B8" w14:textId="77777777"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t>dostępnego dla klienta (egzaminatora) na dowolnym systemie operacyjnym</w:t>
            </w:r>
          </w:p>
          <w:p w14:paraId="4D08464B" w14:textId="55848464" w:rsidR="00C420C2" w:rsidRDefault="00C420C2" w:rsidP="00C420C2">
            <w:pPr>
              <w:rPr>
                <w:rFonts w:ascii="Arial" w:eastAsia="Times New Roman" w:hAnsi="Arial" w:cs="Arial"/>
                <w:sz w:val="20"/>
                <w:szCs w:val="24"/>
              </w:rPr>
            </w:pPr>
            <w:r w:rsidRPr="00C420C2">
              <w:rPr>
                <w:rFonts w:ascii="Arial" w:eastAsia="Times New Roman" w:hAnsi="Arial" w:cs="Arial"/>
                <w:sz w:val="20"/>
                <w:szCs w:val="24"/>
              </w:rPr>
              <w:t xml:space="preserve">(Windows, Linux, </w:t>
            </w:r>
            <w:proofErr w:type="spellStart"/>
            <w:r w:rsidRPr="00C420C2">
              <w:rPr>
                <w:rFonts w:ascii="Arial" w:eastAsia="Times New Roman" w:hAnsi="Arial" w:cs="Arial"/>
                <w:sz w:val="20"/>
                <w:szCs w:val="24"/>
              </w:rPr>
              <w:t>MacOS</w:t>
            </w:r>
            <w:proofErr w:type="spellEnd"/>
            <w:r w:rsidRPr="00C420C2">
              <w:rPr>
                <w:rFonts w:ascii="Arial" w:eastAsia="Times New Roman" w:hAnsi="Arial" w:cs="Arial"/>
                <w:sz w:val="20"/>
                <w:szCs w:val="24"/>
              </w:rPr>
              <w:t>) z wykorzystaniem przeglądarki (wersja webowa)</w:t>
            </w:r>
            <w:r>
              <w:rPr>
                <w:rFonts w:ascii="Arial" w:eastAsia="Times New Roman" w:hAnsi="Arial" w:cs="Arial"/>
                <w:sz w:val="20"/>
                <w:szCs w:val="24"/>
              </w:rPr>
              <w:t>:</w:t>
            </w:r>
          </w:p>
          <w:p w14:paraId="7BCEE0AB" w14:textId="7E0DA7E3" w:rsidR="00C420C2" w:rsidRPr="00C420C2" w:rsidRDefault="00C420C2" w:rsidP="00C420C2">
            <w:pPr>
              <w:rPr>
                <w:rFonts w:ascii="Arial" w:eastAsia="Times New Roman" w:hAnsi="Arial" w:cs="Arial"/>
                <w:sz w:val="20"/>
                <w:szCs w:val="24"/>
              </w:rPr>
            </w:pPr>
            <w:r>
              <w:rPr>
                <w:rFonts w:ascii="Arial" w:eastAsia="Times New Roman" w:hAnsi="Arial" w:cs="Arial"/>
                <w:sz w:val="20"/>
                <w:szCs w:val="24"/>
              </w:rPr>
              <w:lastRenderedPageBreak/>
              <w:t>- moduł</w:t>
            </w:r>
            <w:r w:rsidRPr="00C420C2">
              <w:rPr>
                <w:rFonts w:ascii="Arial" w:eastAsia="Times New Roman" w:hAnsi="Arial" w:cs="Arial"/>
                <w:sz w:val="20"/>
                <w:szCs w:val="24"/>
                <w:shd w:val="clear" w:color="auto" w:fill="FFFFFF"/>
              </w:rPr>
              <w:t xml:space="preserve"> administracyjny,</w:t>
            </w:r>
          </w:p>
          <w:p w14:paraId="4A8E068B" w14:textId="4E70D777"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shd w:val="clear" w:color="auto" w:fill="FFFFFF"/>
              </w:rPr>
              <w:t xml:space="preserve">- </w:t>
            </w:r>
            <w:r>
              <w:rPr>
                <w:rFonts w:ascii="Arial" w:eastAsia="Times New Roman" w:hAnsi="Arial" w:cs="Arial"/>
                <w:sz w:val="20"/>
                <w:szCs w:val="24"/>
                <w:shd w:val="clear" w:color="auto" w:fill="FFFFFF"/>
              </w:rPr>
              <w:t xml:space="preserve">moduł </w:t>
            </w:r>
            <w:r w:rsidRPr="00C420C2">
              <w:rPr>
                <w:rFonts w:ascii="Arial" w:eastAsia="Times New Roman" w:hAnsi="Arial" w:cs="Arial"/>
                <w:sz w:val="20"/>
                <w:szCs w:val="24"/>
                <w:shd w:val="clear" w:color="auto" w:fill="FFFFFF"/>
              </w:rPr>
              <w:t>zarządzania egzaminami,</w:t>
            </w:r>
          </w:p>
          <w:p w14:paraId="40F61630" w14:textId="4C2FB1F1" w:rsidR="00C420C2" w:rsidRPr="00C420C2" w:rsidRDefault="00C420C2" w:rsidP="00C420C2">
            <w:pPr>
              <w:rPr>
                <w:rFonts w:ascii="Arial" w:eastAsia="Arial" w:hAnsi="Arial" w:cs="Arial"/>
                <w:sz w:val="20"/>
                <w:szCs w:val="20"/>
              </w:rPr>
            </w:pPr>
            <w:r w:rsidRPr="00C420C2">
              <w:rPr>
                <w:rFonts w:ascii="Arial" w:eastAsia="Times New Roman" w:hAnsi="Arial" w:cs="Arial"/>
                <w:sz w:val="20"/>
                <w:szCs w:val="24"/>
                <w:shd w:val="clear" w:color="auto" w:fill="FFFFFF"/>
              </w:rPr>
              <w:t xml:space="preserve">- </w:t>
            </w:r>
            <w:r>
              <w:rPr>
                <w:rFonts w:ascii="Arial" w:eastAsia="Times New Roman" w:hAnsi="Arial" w:cs="Arial"/>
                <w:sz w:val="20"/>
                <w:szCs w:val="24"/>
                <w:shd w:val="clear" w:color="auto" w:fill="FFFFFF"/>
              </w:rPr>
              <w:t>moduł oceniania</w:t>
            </w:r>
          </w:p>
        </w:tc>
        <w:tc>
          <w:tcPr>
            <w:tcW w:w="1701" w:type="dxa"/>
            <w:vAlign w:val="center"/>
          </w:tcPr>
          <w:p w14:paraId="3BBE16FD" w14:textId="3CACC835" w:rsidR="00C420C2" w:rsidRPr="00C420C2" w:rsidRDefault="00010F75">
            <w:pPr>
              <w:jc w:val="center"/>
              <w:rPr>
                <w:rFonts w:ascii="Arial" w:eastAsia="Arial" w:hAnsi="Arial" w:cs="Arial"/>
                <w:sz w:val="20"/>
                <w:szCs w:val="20"/>
              </w:rPr>
            </w:pPr>
            <w:r>
              <w:rPr>
                <w:rFonts w:ascii="Arial" w:eastAsia="Arial" w:hAnsi="Arial" w:cs="Arial"/>
                <w:sz w:val="20"/>
                <w:szCs w:val="20"/>
              </w:rPr>
              <w:lastRenderedPageBreak/>
              <w:t>10-2021</w:t>
            </w:r>
          </w:p>
        </w:tc>
        <w:tc>
          <w:tcPr>
            <w:tcW w:w="1843" w:type="dxa"/>
            <w:vAlign w:val="center"/>
          </w:tcPr>
          <w:p w14:paraId="0684C2CD" w14:textId="77777777" w:rsidR="00C420C2" w:rsidRPr="00C420C2" w:rsidRDefault="00C420C2">
            <w:pPr>
              <w:jc w:val="center"/>
              <w:rPr>
                <w:rFonts w:ascii="Arial" w:eastAsia="Arial" w:hAnsi="Arial" w:cs="Arial"/>
                <w:sz w:val="20"/>
                <w:szCs w:val="20"/>
              </w:rPr>
            </w:pPr>
          </w:p>
        </w:tc>
        <w:tc>
          <w:tcPr>
            <w:tcW w:w="3543" w:type="dxa"/>
          </w:tcPr>
          <w:p w14:paraId="47D21F84" w14:textId="77777777" w:rsidR="00C420C2" w:rsidRDefault="00C420C2" w:rsidP="00C420C2">
            <w:r>
              <w:rPr>
                <w:rFonts w:ascii="Arial" w:eastAsia="Arial" w:hAnsi="Arial" w:cs="Arial"/>
                <w:sz w:val="20"/>
                <w:szCs w:val="20"/>
              </w:rPr>
              <w:t>- SIOEO (System Informatyczny  Obsługujący Egzaminy Ogólnokształcące)</w:t>
            </w:r>
          </w:p>
          <w:p w14:paraId="630FF7AC" w14:textId="77777777" w:rsidR="00C420C2" w:rsidRDefault="00C420C2" w:rsidP="00C420C2">
            <w:pPr>
              <w:numPr>
                <w:ilvl w:val="0"/>
                <w:numId w:val="1"/>
              </w:numPr>
              <w:ind w:left="0"/>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p w14:paraId="769D70D3" w14:textId="77777777" w:rsidR="00C420C2" w:rsidRDefault="00C420C2" w:rsidP="00C420C2">
            <w:pPr>
              <w:rPr>
                <w:rFonts w:ascii="Arial" w:eastAsia="Arial" w:hAnsi="Arial" w:cs="Arial"/>
                <w:sz w:val="20"/>
                <w:szCs w:val="20"/>
              </w:rPr>
            </w:pPr>
            <w:r>
              <w:rPr>
                <w:rFonts w:ascii="Arial" w:eastAsia="Arial" w:hAnsi="Arial" w:cs="Arial"/>
                <w:sz w:val="20"/>
                <w:szCs w:val="20"/>
              </w:rPr>
              <w:t xml:space="preserve">- SIOEPKZ (System Informatyczny Obsługi Egzaminów </w:t>
            </w:r>
            <w:r>
              <w:rPr>
                <w:rFonts w:ascii="Arial" w:eastAsia="Arial" w:hAnsi="Arial" w:cs="Arial"/>
                <w:sz w:val="20"/>
                <w:szCs w:val="20"/>
              </w:rPr>
              <w:lastRenderedPageBreak/>
              <w:t>Potwierdzających Kwalifikacje w Zawodzie)</w:t>
            </w:r>
          </w:p>
          <w:p w14:paraId="2E31F29D" w14:textId="10FE4BB6" w:rsidR="00C420C2" w:rsidRPr="00C420C2" w:rsidRDefault="00C420C2" w:rsidP="00C420C2">
            <w:pPr>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tc>
      </w:tr>
      <w:tr w:rsidR="00C420C2" w14:paraId="2D9A403C" w14:textId="77777777">
        <w:tc>
          <w:tcPr>
            <w:tcW w:w="2835" w:type="dxa"/>
            <w:vAlign w:val="center"/>
          </w:tcPr>
          <w:p w14:paraId="657AFC18" w14:textId="77777777"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lastRenderedPageBreak/>
              <w:t>Moduły nowego systemu do zdalnego oceniania prac egzaminacyjnych,</w:t>
            </w:r>
          </w:p>
          <w:p w14:paraId="3A261F87" w14:textId="77777777"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t>dostępnego dla klienta (egzaminatora) na dowolnym systemie operacyjnym</w:t>
            </w:r>
          </w:p>
          <w:p w14:paraId="63944CB7" w14:textId="77777777" w:rsidR="00C420C2" w:rsidRDefault="00C420C2" w:rsidP="00C420C2">
            <w:pPr>
              <w:rPr>
                <w:rFonts w:ascii="Arial" w:eastAsia="Times New Roman" w:hAnsi="Arial" w:cs="Arial"/>
                <w:sz w:val="20"/>
                <w:szCs w:val="24"/>
              </w:rPr>
            </w:pPr>
            <w:r w:rsidRPr="00C420C2">
              <w:rPr>
                <w:rFonts w:ascii="Arial" w:eastAsia="Times New Roman" w:hAnsi="Arial" w:cs="Arial"/>
                <w:sz w:val="20"/>
                <w:szCs w:val="24"/>
              </w:rPr>
              <w:t xml:space="preserve">(Windows, Linux, </w:t>
            </w:r>
            <w:proofErr w:type="spellStart"/>
            <w:r w:rsidRPr="00C420C2">
              <w:rPr>
                <w:rFonts w:ascii="Arial" w:eastAsia="Times New Roman" w:hAnsi="Arial" w:cs="Arial"/>
                <w:sz w:val="20"/>
                <w:szCs w:val="24"/>
              </w:rPr>
              <w:t>MacOS</w:t>
            </w:r>
            <w:proofErr w:type="spellEnd"/>
            <w:r w:rsidRPr="00C420C2">
              <w:rPr>
                <w:rFonts w:ascii="Arial" w:eastAsia="Times New Roman" w:hAnsi="Arial" w:cs="Arial"/>
                <w:sz w:val="20"/>
                <w:szCs w:val="24"/>
              </w:rPr>
              <w:t>) z wykorzystaniem przeglądarki (wersja webowa)</w:t>
            </w:r>
            <w:r>
              <w:rPr>
                <w:rFonts w:ascii="Arial" w:eastAsia="Times New Roman" w:hAnsi="Arial" w:cs="Arial"/>
                <w:sz w:val="20"/>
                <w:szCs w:val="24"/>
              </w:rPr>
              <w:t>:</w:t>
            </w:r>
          </w:p>
          <w:p w14:paraId="3AE32FE0" w14:textId="09C5E4F7" w:rsidR="00C420C2" w:rsidRPr="00C420C2" w:rsidRDefault="00C420C2" w:rsidP="00C420C2">
            <w:pPr>
              <w:rPr>
                <w:rFonts w:ascii="Arial" w:eastAsia="Times New Roman" w:hAnsi="Arial" w:cs="Arial"/>
                <w:sz w:val="20"/>
                <w:szCs w:val="24"/>
              </w:rPr>
            </w:pPr>
            <w:r>
              <w:rPr>
                <w:rFonts w:ascii="Arial" w:eastAsia="Times New Roman" w:hAnsi="Arial" w:cs="Arial"/>
                <w:sz w:val="20"/>
                <w:szCs w:val="24"/>
              </w:rPr>
              <w:t>-</w:t>
            </w:r>
            <w:r w:rsidRPr="00C420C2">
              <w:rPr>
                <w:rFonts w:ascii="Arial" w:eastAsia="Times New Roman" w:hAnsi="Arial" w:cs="Arial"/>
                <w:sz w:val="20"/>
                <w:szCs w:val="24"/>
              </w:rPr>
              <w:t xml:space="preserve"> </w:t>
            </w:r>
            <w:r>
              <w:rPr>
                <w:rFonts w:ascii="Arial" w:eastAsia="Times New Roman" w:hAnsi="Arial" w:cs="Arial"/>
                <w:sz w:val="20"/>
                <w:szCs w:val="24"/>
              </w:rPr>
              <w:t xml:space="preserve">moduł </w:t>
            </w:r>
            <w:r w:rsidRPr="00C420C2">
              <w:rPr>
                <w:rFonts w:ascii="Arial" w:eastAsia="Times New Roman" w:hAnsi="Arial" w:cs="Arial"/>
                <w:sz w:val="20"/>
                <w:szCs w:val="24"/>
              </w:rPr>
              <w:t>przesyłania obrazów,</w:t>
            </w:r>
          </w:p>
          <w:p w14:paraId="38B089AE" w14:textId="0582CC44"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t xml:space="preserve">- </w:t>
            </w:r>
            <w:r>
              <w:rPr>
                <w:rFonts w:ascii="Arial" w:eastAsia="Times New Roman" w:hAnsi="Arial" w:cs="Arial"/>
                <w:sz w:val="20"/>
                <w:szCs w:val="24"/>
              </w:rPr>
              <w:t xml:space="preserve">moduł </w:t>
            </w:r>
            <w:r w:rsidRPr="00C420C2">
              <w:rPr>
                <w:rFonts w:ascii="Arial" w:eastAsia="Times New Roman" w:hAnsi="Arial" w:cs="Arial"/>
                <w:sz w:val="20"/>
                <w:szCs w:val="24"/>
              </w:rPr>
              <w:t>wzorcowych ocen,</w:t>
            </w:r>
          </w:p>
          <w:p w14:paraId="679EA1DD" w14:textId="3B866120"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t xml:space="preserve">- </w:t>
            </w:r>
            <w:r>
              <w:rPr>
                <w:rFonts w:ascii="Arial" w:eastAsia="Times New Roman" w:hAnsi="Arial" w:cs="Arial"/>
                <w:sz w:val="20"/>
                <w:szCs w:val="24"/>
              </w:rPr>
              <w:t xml:space="preserve">moduł </w:t>
            </w:r>
            <w:r w:rsidRPr="00C420C2">
              <w:rPr>
                <w:rFonts w:ascii="Arial" w:eastAsia="Times New Roman" w:hAnsi="Arial" w:cs="Arial"/>
                <w:sz w:val="20"/>
                <w:szCs w:val="24"/>
              </w:rPr>
              <w:t>ewaluacji,</w:t>
            </w:r>
          </w:p>
          <w:p w14:paraId="4BB48A54" w14:textId="501396C5" w:rsidR="00C420C2" w:rsidRPr="00C420C2" w:rsidRDefault="00C420C2" w:rsidP="00C420C2">
            <w:pPr>
              <w:rPr>
                <w:rFonts w:ascii="Arial" w:eastAsia="Times New Roman" w:hAnsi="Arial" w:cs="Arial"/>
                <w:sz w:val="20"/>
                <w:szCs w:val="24"/>
              </w:rPr>
            </w:pPr>
            <w:r>
              <w:rPr>
                <w:rFonts w:ascii="Arial" w:eastAsia="Times New Roman" w:hAnsi="Arial" w:cs="Arial"/>
                <w:sz w:val="20"/>
                <w:szCs w:val="24"/>
              </w:rPr>
              <w:t>- r</w:t>
            </w:r>
            <w:r w:rsidRPr="00C420C2">
              <w:rPr>
                <w:rFonts w:ascii="Arial" w:eastAsia="Times New Roman" w:hAnsi="Arial" w:cs="Arial"/>
                <w:sz w:val="20"/>
                <w:szCs w:val="24"/>
              </w:rPr>
              <w:t>epozytorium zeskanowanych prac,</w:t>
            </w:r>
          </w:p>
          <w:p w14:paraId="682B99B2" w14:textId="027D532C"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t xml:space="preserve">- </w:t>
            </w:r>
            <w:r>
              <w:rPr>
                <w:rFonts w:ascii="Arial" w:eastAsia="Times New Roman" w:hAnsi="Arial" w:cs="Arial"/>
                <w:sz w:val="20"/>
                <w:szCs w:val="24"/>
              </w:rPr>
              <w:t>r</w:t>
            </w:r>
            <w:r w:rsidRPr="00C420C2">
              <w:rPr>
                <w:rFonts w:ascii="Arial" w:eastAsia="Times New Roman" w:hAnsi="Arial" w:cs="Arial"/>
                <w:sz w:val="20"/>
                <w:szCs w:val="24"/>
              </w:rPr>
              <w:t>epozytorium egzaminatorów,</w:t>
            </w:r>
          </w:p>
          <w:p w14:paraId="6BB4320E" w14:textId="1CEC7BD4"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t xml:space="preserve">- </w:t>
            </w:r>
            <w:r>
              <w:rPr>
                <w:rFonts w:ascii="Arial" w:eastAsia="Times New Roman" w:hAnsi="Arial" w:cs="Arial"/>
                <w:sz w:val="20"/>
                <w:szCs w:val="24"/>
              </w:rPr>
              <w:t xml:space="preserve">moduł </w:t>
            </w:r>
            <w:r w:rsidRPr="00C420C2">
              <w:rPr>
                <w:rFonts w:ascii="Arial" w:eastAsia="Times New Roman" w:hAnsi="Arial" w:cs="Arial"/>
                <w:sz w:val="20"/>
                <w:szCs w:val="24"/>
              </w:rPr>
              <w:t>dystrybucji,</w:t>
            </w:r>
          </w:p>
          <w:p w14:paraId="7AF12E9B" w14:textId="37573A60"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t xml:space="preserve">- </w:t>
            </w:r>
            <w:r>
              <w:rPr>
                <w:rFonts w:ascii="Arial" w:eastAsia="Times New Roman" w:hAnsi="Arial" w:cs="Arial"/>
                <w:sz w:val="20"/>
                <w:szCs w:val="24"/>
              </w:rPr>
              <w:t xml:space="preserve">moduł </w:t>
            </w:r>
            <w:r w:rsidRPr="00C420C2">
              <w:rPr>
                <w:rFonts w:ascii="Arial" w:eastAsia="Times New Roman" w:hAnsi="Arial" w:cs="Arial"/>
                <w:sz w:val="20"/>
                <w:szCs w:val="24"/>
              </w:rPr>
              <w:t>obrazów prac,</w:t>
            </w:r>
          </w:p>
          <w:p w14:paraId="1195E354" w14:textId="286754DC"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t xml:space="preserve">- </w:t>
            </w:r>
            <w:r>
              <w:rPr>
                <w:rFonts w:ascii="Arial" w:eastAsia="Times New Roman" w:hAnsi="Arial" w:cs="Arial"/>
                <w:sz w:val="20"/>
                <w:szCs w:val="24"/>
              </w:rPr>
              <w:t xml:space="preserve">moduł </w:t>
            </w:r>
            <w:r w:rsidRPr="00C420C2">
              <w:rPr>
                <w:rFonts w:ascii="Arial" w:eastAsia="Times New Roman" w:hAnsi="Arial" w:cs="Arial"/>
                <w:sz w:val="20"/>
                <w:szCs w:val="24"/>
              </w:rPr>
              <w:t>komunikacji,</w:t>
            </w:r>
          </w:p>
          <w:p w14:paraId="6DA0DE6A" w14:textId="1F2F498D" w:rsidR="00C420C2" w:rsidRPr="00C420C2" w:rsidRDefault="00C420C2" w:rsidP="00C420C2">
            <w:pPr>
              <w:rPr>
                <w:rFonts w:ascii="Arial" w:eastAsia="Times New Roman" w:hAnsi="Arial" w:cs="Arial"/>
                <w:sz w:val="20"/>
                <w:szCs w:val="24"/>
              </w:rPr>
            </w:pPr>
            <w:r w:rsidRPr="00C420C2">
              <w:rPr>
                <w:rFonts w:ascii="Arial" w:eastAsia="Times New Roman" w:hAnsi="Arial" w:cs="Arial"/>
                <w:sz w:val="20"/>
                <w:szCs w:val="24"/>
              </w:rPr>
              <w:t xml:space="preserve">- </w:t>
            </w:r>
            <w:r>
              <w:rPr>
                <w:rFonts w:ascii="Arial" w:eastAsia="Times New Roman" w:hAnsi="Arial" w:cs="Arial"/>
                <w:sz w:val="20"/>
                <w:szCs w:val="24"/>
              </w:rPr>
              <w:t xml:space="preserve">moduł </w:t>
            </w:r>
            <w:r w:rsidRPr="00C420C2">
              <w:rPr>
                <w:rFonts w:ascii="Arial" w:eastAsia="Times New Roman" w:hAnsi="Arial" w:cs="Arial"/>
                <w:sz w:val="20"/>
                <w:szCs w:val="24"/>
              </w:rPr>
              <w:t>pierwszej linii pomocy</w:t>
            </w:r>
            <w:r>
              <w:rPr>
                <w:rFonts w:ascii="Arial" w:eastAsia="Times New Roman" w:hAnsi="Arial" w:cs="Arial"/>
                <w:sz w:val="20"/>
                <w:szCs w:val="24"/>
              </w:rPr>
              <w:t xml:space="preserve"> </w:t>
            </w:r>
          </w:p>
        </w:tc>
        <w:tc>
          <w:tcPr>
            <w:tcW w:w="1701" w:type="dxa"/>
            <w:vAlign w:val="center"/>
          </w:tcPr>
          <w:p w14:paraId="4F818869" w14:textId="6F6F8219" w:rsidR="00C420C2" w:rsidRPr="00C420C2" w:rsidRDefault="00010F75">
            <w:pPr>
              <w:jc w:val="center"/>
              <w:rPr>
                <w:rFonts w:ascii="Arial" w:eastAsia="Arial" w:hAnsi="Arial" w:cs="Arial"/>
                <w:sz w:val="20"/>
                <w:szCs w:val="20"/>
              </w:rPr>
            </w:pPr>
            <w:r>
              <w:rPr>
                <w:rFonts w:ascii="Arial" w:eastAsia="Arial" w:hAnsi="Arial" w:cs="Arial"/>
                <w:sz w:val="20"/>
                <w:szCs w:val="20"/>
              </w:rPr>
              <w:t>02</w:t>
            </w:r>
            <w:r w:rsidRPr="00010F75">
              <w:rPr>
                <w:rFonts w:ascii="Arial" w:eastAsia="Arial" w:hAnsi="Arial" w:cs="Arial"/>
                <w:sz w:val="20"/>
                <w:szCs w:val="20"/>
              </w:rPr>
              <w:t>-2022</w:t>
            </w:r>
          </w:p>
        </w:tc>
        <w:tc>
          <w:tcPr>
            <w:tcW w:w="1843" w:type="dxa"/>
            <w:vAlign w:val="center"/>
          </w:tcPr>
          <w:p w14:paraId="375B0062" w14:textId="77777777" w:rsidR="00C420C2" w:rsidRPr="00C420C2" w:rsidRDefault="00C420C2">
            <w:pPr>
              <w:jc w:val="center"/>
              <w:rPr>
                <w:rFonts w:ascii="Arial" w:eastAsia="Arial" w:hAnsi="Arial" w:cs="Arial"/>
                <w:sz w:val="20"/>
                <w:szCs w:val="20"/>
              </w:rPr>
            </w:pPr>
          </w:p>
        </w:tc>
        <w:tc>
          <w:tcPr>
            <w:tcW w:w="3543" w:type="dxa"/>
          </w:tcPr>
          <w:p w14:paraId="20FDD242" w14:textId="77777777" w:rsidR="00010F75" w:rsidRDefault="00010F75" w:rsidP="00010F75">
            <w:r>
              <w:rPr>
                <w:rFonts w:ascii="Arial" w:eastAsia="Arial" w:hAnsi="Arial" w:cs="Arial"/>
                <w:sz w:val="20"/>
                <w:szCs w:val="20"/>
              </w:rPr>
              <w:t>- SIOEO (System Informatyczny  Obsługujący Egzaminy Ogólnokształcące)</w:t>
            </w:r>
          </w:p>
          <w:p w14:paraId="4477FAB4" w14:textId="77777777" w:rsidR="00010F75" w:rsidRDefault="00010F75" w:rsidP="00010F75">
            <w:pPr>
              <w:numPr>
                <w:ilvl w:val="0"/>
                <w:numId w:val="1"/>
              </w:numPr>
              <w:ind w:left="0"/>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p w14:paraId="49D9A53B" w14:textId="77777777" w:rsidR="00010F75" w:rsidRDefault="00010F75" w:rsidP="00010F75">
            <w:pPr>
              <w:rPr>
                <w:rFonts w:ascii="Arial" w:eastAsia="Arial" w:hAnsi="Arial" w:cs="Arial"/>
                <w:sz w:val="20"/>
                <w:szCs w:val="20"/>
              </w:rPr>
            </w:pPr>
            <w:r>
              <w:rPr>
                <w:rFonts w:ascii="Arial" w:eastAsia="Arial" w:hAnsi="Arial" w:cs="Arial"/>
                <w:sz w:val="20"/>
                <w:szCs w:val="20"/>
              </w:rPr>
              <w:t>- SIOEPKZ (System Informatyczny Obsługi Egzaminów Potwierdzających Kwalifikacje w Zawodzie)</w:t>
            </w:r>
          </w:p>
          <w:p w14:paraId="392A7A15" w14:textId="3DA49A1B" w:rsidR="00C420C2" w:rsidRPr="00C420C2" w:rsidRDefault="00010F75" w:rsidP="00010F75">
            <w:pPr>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tc>
      </w:tr>
      <w:tr w:rsidR="00010F75" w14:paraId="3FDE31A5" w14:textId="77777777">
        <w:tc>
          <w:tcPr>
            <w:tcW w:w="2835" w:type="dxa"/>
            <w:vAlign w:val="center"/>
          </w:tcPr>
          <w:p w14:paraId="703619F3" w14:textId="77777777" w:rsidR="00010F75" w:rsidRPr="00C420C2" w:rsidRDefault="00010F75" w:rsidP="00010F75">
            <w:pPr>
              <w:rPr>
                <w:rFonts w:ascii="Arial" w:eastAsia="Times New Roman" w:hAnsi="Arial" w:cs="Arial"/>
                <w:sz w:val="20"/>
                <w:szCs w:val="24"/>
              </w:rPr>
            </w:pPr>
            <w:r w:rsidRPr="00C420C2">
              <w:rPr>
                <w:rFonts w:ascii="Arial" w:eastAsia="Times New Roman" w:hAnsi="Arial" w:cs="Arial"/>
                <w:sz w:val="20"/>
                <w:szCs w:val="24"/>
              </w:rPr>
              <w:t>Moduły nowego systemu do zdalnego oceniania prac egzaminacyjnych,</w:t>
            </w:r>
          </w:p>
          <w:p w14:paraId="668E6A7F" w14:textId="77777777" w:rsidR="00010F75" w:rsidRPr="00C420C2" w:rsidRDefault="00010F75" w:rsidP="00010F75">
            <w:pPr>
              <w:rPr>
                <w:rFonts w:ascii="Arial" w:eastAsia="Times New Roman" w:hAnsi="Arial" w:cs="Arial"/>
                <w:sz w:val="20"/>
                <w:szCs w:val="24"/>
              </w:rPr>
            </w:pPr>
            <w:r w:rsidRPr="00C420C2">
              <w:rPr>
                <w:rFonts w:ascii="Arial" w:eastAsia="Times New Roman" w:hAnsi="Arial" w:cs="Arial"/>
                <w:sz w:val="20"/>
                <w:szCs w:val="24"/>
              </w:rPr>
              <w:t>dostępnego dla klienta (egzaminatora) na dowolnym systemie operacyjnym</w:t>
            </w:r>
          </w:p>
          <w:p w14:paraId="009887A5" w14:textId="77777777" w:rsidR="00010F75" w:rsidRDefault="00010F75" w:rsidP="00010F75">
            <w:pPr>
              <w:rPr>
                <w:rFonts w:ascii="Arial" w:eastAsia="Times New Roman" w:hAnsi="Arial" w:cs="Arial"/>
                <w:sz w:val="20"/>
                <w:szCs w:val="24"/>
              </w:rPr>
            </w:pPr>
            <w:r w:rsidRPr="00C420C2">
              <w:rPr>
                <w:rFonts w:ascii="Arial" w:eastAsia="Times New Roman" w:hAnsi="Arial" w:cs="Arial"/>
                <w:sz w:val="20"/>
                <w:szCs w:val="24"/>
              </w:rPr>
              <w:t xml:space="preserve">(Windows, Linux, </w:t>
            </w:r>
            <w:proofErr w:type="spellStart"/>
            <w:r w:rsidRPr="00C420C2">
              <w:rPr>
                <w:rFonts w:ascii="Arial" w:eastAsia="Times New Roman" w:hAnsi="Arial" w:cs="Arial"/>
                <w:sz w:val="20"/>
                <w:szCs w:val="24"/>
              </w:rPr>
              <w:t>MacOS</w:t>
            </w:r>
            <w:proofErr w:type="spellEnd"/>
            <w:r w:rsidRPr="00C420C2">
              <w:rPr>
                <w:rFonts w:ascii="Arial" w:eastAsia="Times New Roman" w:hAnsi="Arial" w:cs="Arial"/>
                <w:sz w:val="20"/>
                <w:szCs w:val="24"/>
              </w:rPr>
              <w:t>) z wykorzystaniem przeglądarki (wersja webowa)</w:t>
            </w:r>
            <w:r>
              <w:rPr>
                <w:rFonts w:ascii="Arial" w:eastAsia="Times New Roman" w:hAnsi="Arial" w:cs="Arial"/>
                <w:sz w:val="20"/>
                <w:szCs w:val="24"/>
              </w:rPr>
              <w:t>:</w:t>
            </w:r>
          </w:p>
          <w:p w14:paraId="2835AB9E" w14:textId="2A97ABD5" w:rsidR="00010F75" w:rsidRPr="00C420C2" w:rsidRDefault="00010F75" w:rsidP="00010F75">
            <w:pPr>
              <w:rPr>
                <w:rFonts w:ascii="Arial" w:eastAsia="Times New Roman" w:hAnsi="Arial" w:cs="Arial"/>
                <w:sz w:val="20"/>
                <w:szCs w:val="24"/>
              </w:rPr>
            </w:pPr>
            <w:r>
              <w:rPr>
                <w:rFonts w:ascii="Arial" w:eastAsia="Times New Roman" w:hAnsi="Arial" w:cs="Arial"/>
                <w:sz w:val="20"/>
                <w:szCs w:val="24"/>
              </w:rPr>
              <w:t>-</w:t>
            </w:r>
            <w:r w:rsidRPr="00C420C2">
              <w:rPr>
                <w:rFonts w:ascii="Arial" w:eastAsia="Times New Roman" w:hAnsi="Arial" w:cs="Arial"/>
                <w:sz w:val="20"/>
                <w:szCs w:val="24"/>
              </w:rPr>
              <w:t xml:space="preserve"> </w:t>
            </w:r>
            <w:r>
              <w:rPr>
                <w:rFonts w:ascii="Arial" w:eastAsia="Times New Roman" w:hAnsi="Arial" w:cs="Arial"/>
                <w:sz w:val="20"/>
                <w:szCs w:val="24"/>
              </w:rPr>
              <w:t>moduł rozliczeń finansowych egzaminatorów</w:t>
            </w:r>
            <w:r w:rsidRPr="00C420C2">
              <w:rPr>
                <w:rFonts w:ascii="Arial" w:eastAsia="Times New Roman" w:hAnsi="Arial" w:cs="Arial"/>
                <w:sz w:val="20"/>
                <w:szCs w:val="24"/>
              </w:rPr>
              <w:t>,</w:t>
            </w:r>
          </w:p>
          <w:p w14:paraId="538847B0" w14:textId="28CDB4B7" w:rsidR="00010F75" w:rsidRPr="00C420C2" w:rsidRDefault="00010F75" w:rsidP="00010F75">
            <w:pPr>
              <w:rPr>
                <w:rFonts w:ascii="Arial" w:eastAsia="Times New Roman" w:hAnsi="Arial" w:cs="Arial"/>
                <w:sz w:val="20"/>
                <w:szCs w:val="24"/>
              </w:rPr>
            </w:pPr>
            <w:r>
              <w:rPr>
                <w:rFonts w:ascii="Arial" w:eastAsia="Times New Roman" w:hAnsi="Arial" w:cs="Arial"/>
                <w:sz w:val="20"/>
                <w:szCs w:val="24"/>
              </w:rPr>
              <w:t>- r</w:t>
            </w:r>
            <w:r w:rsidRPr="00C420C2">
              <w:rPr>
                <w:rFonts w:ascii="Arial" w:eastAsia="Times New Roman" w:hAnsi="Arial" w:cs="Arial"/>
                <w:sz w:val="20"/>
                <w:szCs w:val="24"/>
              </w:rPr>
              <w:t xml:space="preserve">epozytorium </w:t>
            </w:r>
            <w:r>
              <w:rPr>
                <w:rFonts w:ascii="Arial" w:eastAsia="Times New Roman" w:hAnsi="Arial" w:cs="Arial"/>
                <w:sz w:val="20"/>
                <w:szCs w:val="24"/>
              </w:rPr>
              <w:t>wyników</w:t>
            </w:r>
          </w:p>
        </w:tc>
        <w:tc>
          <w:tcPr>
            <w:tcW w:w="1701" w:type="dxa"/>
            <w:vAlign w:val="center"/>
          </w:tcPr>
          <w:p w14:paraId="2E330707" w14:textId="44DC9CC2" w:rsidR="00010F75" w:rsidRPr="00C420C2" w:rsidRDefault="00010F75" w:rsidP="00010F75">
            <w:pPr>
              <w:jc w:val="center"/>
              <w:rPr>
                <w:rFonts w:ascii="Arial" w:eastAsia="Arial" w:hAnsi="Arial" w:cs="Arial"/>
                <w:sz w:val="20"/>
                <w:szCs w:val="20"/>
              </w:rPr>
            </w:pPr>
            <w:r>
              <w:rPr>
                <w:rFonts w:ascii="Arial" w:eastAsia="Arial" w:hAnsi="Arial" w:cs="Arial"/>
                <w:sz w:val="20"/>
                <w:szCs w:val="20"/>
              </w:rPr>
              <w:t>05-2022</w:t>
            </w:r>
          </w:p>
        </w:tc>
        <w:tc>
          <w:tcPr>
            <w:tcW w:w="1843" w:type="dxa"/>
            <w:vAlign w:val="center"/>
          </w:tcPr>
          <w:p w14:paraId="76A15415" w14:textId="77777777" w:rsidR="00010F75" w:rsidRPr="00C420C2" w:rsidRDefault="00010F75" w:rsidP="00010F75">
            <w:pPr>
              <w:jc w:val="center"/>
              <w:rPr>
                <w:rFonts w:ascii="Arial" w:eastAsia="Arial" w:hAnsi="Arial" w:cs="Arial"/>
                <w:sz w:val="20"/>
                <w:szCs w:val="20"/>
              </w:rPr>
            </w:pPr>
          </w:p>
        </w:tc>
        <w:tc>
          <w:tcPr>
            <w:tcW w:w="3543" w:type="dxa"/>
          </w:tcPr>
          <w:p w14:paraId="6EB8D732" w14:textId="77777777" w:rsidR="00010F75" w:rsidRDefault="00010F75" w:rsidP="00010F75">
            <w:r>
              <w:rPr>
                <w:rFonts w:ascii="Arial" w:eastAsia="Arial" w:hAnsi="Arial" w:cs="Arial"/>
                <w:sz w:val="20"/>
                <w:szCs w:val="20"/>
              </w:rPr>
              <w:t>- SIOEO (System Informatyczny  Obsługujący Egzaminy Ogólnokształcące)</w:t>
            </w:r>
          </w:p>
          <w:p w14:paraId="44248DC1" w14:textId="77777777" w:rsidR="00010F75" w:rsidRDefault="00010F75" w:rsidP="00010F75">
            <w:pPr>
              <w:numPr>
                <w:ilvl w:val="0"/>
                <w:numId w:val="1"/>
              </w:numPr>
              <w:ind w:left="0"/>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p w14:paraId="495EF0DE" w14:textId="77777777" w:rsidR="00010F75" w:rsidRDefault="00010F75" w:rsidP="00010F75">
            <w:pPr>
              <w:rPr>
                <w:rFonts w:ascii="Arial" w:eastAsia="Arial" w:hAnsi="Arial" w:cs="Arial"/>
                <w:sz w:val="20"/>
                <w:szCs w:val="20"/>
              </w:rPr>
            </w:pPr>
            <w:r>
              <w:rPr>
                <w:rFonts w:ascii="Arial" w:eastAsia="Arial" w:hAnsi="Arial" w:cs="Arial"/>
                <w:sz w:val="20"/>
                <w:szCs w:val="20"/>
              </w:rPr>
              <w:t>- SIOEPKZ (System Informatyczny Obsługi Egzaminów Potwierdzających Kwalifikacje w Zawodzie)</w:t>
            </w:r>
          </w:p>
          <w:p w14:paraId="2623A0D7" w14:textId="5A4B40A0" w:rsidR="00010F75" w:rsidRPr="00C420C2" w:rsidRDefault="00010F75" w:rsidP="00010F75">
            <w:pPr>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tc>
      </w:tr>
    </w:tbl>
    <w:p w14:paraId="0A86A9B0" w14:textId="77777777" w:rsidR="00A31208" w:rsidRDefault="00E421FE" w:rsidP="00676FC0">
      <w:pPr>
        <w:numPr>
          <w:ilvl w:val="0"/>
          <w:numId w:val="2"/>
        </w:numPr>
        <w:pBdr>
          <w:top w:val="nil"/>
          <w:left w:val="nil"/>
          <w:bottom w:val="nil"/>
          <w:right w:val="nil"/>
          <w:between w:val="nil"/>
        </w:pBdr>
        <w:spacing w:before="360" w:after="120"/>
        <w:ind w:left="426" w:hanging="426"/>
        <w:rPr>
          <w:rFonts w:ascii="Arial" w:eastAsia="Arial" w:hAnsi="Arial" w:cs="Arial"/>
          <w:sz w:val="20"/>
          <w:szCs w:val="20"/>
        </w:rPr>
      </w:pPr>
      <w:r>
        <w:rPr>
          <w:rFonts w:ascii="Arial" w:eastAsia="Arial" w:hAnsi="Arial" w:cs="Arial"/>
          <w:b/>
          <w:color w:val="000000"/>
          <w:sz w:val="24"/>
          <w:szCs w:val="24"/>
        </w:rPr>
        <w:t xml:space="preserve">Ryzyka </w:t>
      </w:r>
    </w:p>
    <w:p w14:paraId="6B287F61" w14:textId="77777777" w:rsidR="00A31208" w:rsidRDefault="00E421FE">
      <w:pPr>
        <w:spacing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realizację projektu</w:t>
      </w:r>
    </w:p>
    <w:tbl>
      <w:tblPr>
        <w:tblStyle w:val="a6"/>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665"/>
        <w:gridCol w:w="2130"/>
        <w:gridCol w:w="3040"/>
      </w:tblGrid>
      <w:tr w:rsidR="00A31208" w14:paraId="5CBFE5B6" w14:textId="77777777">
        <w:trPr>
          <w:trHeight w:val="724"/>
          <w:jc w:val="center"/>
        </w:trPr>
        <w:tc>
          <w:tcPr>
            <w:tcW w:w="3078" w:type="dxa"/>
            <w:shd w:val="clear" w:color="auto" w:fill="D9D9D9"/>
            <w:vAlign w:val="center"/>
          </w:tcPr>
          <w:p w14:paraId="0BABA028" w14:textId="77777777" w:rsidR="00A31208" w:rsidRDefault="00E421FE">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665" w:type="dxa"/>
            <w:shd w:val="clear" w:color="auto" w:fill="D9D9D9"/>
            <w:vAlign w:val="center"/>
          </w:tcPr>
          <w:p w14:paraId="522BD202" w14:textId="77777777" w:rsidR="00A31208" w:rsidRDefault="00E421FE">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130" w:type="dxa"/>
            <w:shd w:val="clear" w:color="auto" w:fill="D9D9D9"/>
          </w:tcPr>
          <w:p w14:paraId="76246865" w14:textId="77777777" w:rsidR="00A31208" w:rsidRDefault="00E421FE">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6DC5EA71" w14:textId="77777777" w:rsidR="00A31208" w:rsidRDefault="00E421FE" w:rsidP="00810AA1">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A31208" w14:paraId="0CF5D0A9" w14:textId="77777777">
        <w:trPr>
          <w:trHeight w:val="346"/>
          <w:jc w:val="center"/>
        </w:trPr>
        <w:tc>
          <w:tcPr>
            <w:tcW w:w="3078" w:type="dxa"/>
            <w:shd w:val="clear" w:color="auto" w:fill="auto"/>
            <w:vAlign w:val="center"/>
          </w:tcPr>
          <w:p w14:paraId="48DC7047"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 xml:space="preserve">Ryzyko organizacyjne. </w:t>
            </w:r>
          </w:p>
          <w:p w14:paraId="4BCC229E"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 xml:space="preserve">Projekt jest dużym przedsięwzięciem organizacyjnym. </w:t>
            </w:r>
            <w:r>
              <w:rPr>
                <w:rFonts w:ascii="Arial" w:eastAsia="Arial" w:hAnsi="Arial" w:cs="Arial"/>
                <w:sz w:val="20"/>
                <w:szCs w:val="20"/>
              </w:rPr>
              <w:lastRenderedPageBreak/>
              <w:t>Zaangażowane w jego organizację jest wiele osób.</w:t>
            </w:r>
          </w:p>
        </w:tc>
        <w:tc>
          <w:tcPr>
            <w:tcW w:w="1665" w:type="dxa"/>
            <w:shd w:val="clear" w:color="auto" w:fill="FFFFFF"/>
            <w:vAlign w:val="center"/>
          </w:tcPr>
          <w:p w14:paraId="7158E488"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lastRenderedPageBreak/>
              <w:t xml:space="preserve">Średnia </w:t>
            </w:r>
          </w:p>
        </w:tc>
        <w:tc>
          <w:tcPr>
            <w:tcW w:w="2130" w:type="dxa"/>
            <w:shd w:val="clear" w:color="auto" w:fill="FFFFFF"/>
            <w:vAlign w:val="center"/>
          </w:tcPr>
          <w:p w14:paraId="7A442D23"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2484A21C"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 xml:space="preserve">Zakłada się że przed </w:t>
            </w:r>
          </w:p>
          <w:p w14:paraId="0F4BD288"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rozpoczęciem projektu zostanie ustalona bardzo precyzyjna struktura organizacyjna. Zostanie dodefiniowany model</w:t>
            </w:r>
            <w:r>
              <w:rPr>
                <w:rFonts w:ascii="Arial" w:eastAsia="Arial" w:hAnsi="Arial" w:cs="Arial"/>
                <w:sz w:val="20"/>
                <w:szCs w:val="20"/>
              </w:rPr>
              <w:br/>
            </w:r>
            <w:r>
              <w:rPr>
                <w:rFonts w:ascii="Arial" w:eastAsia="Arial" w:hAnsi="Arial" w:cs="Arial"/>
                <w:sz w:val="20"/>
                <w:szCs w:val="20"/>
              </w:rPr>
              <w:lastRenderedPageBreak/>
              <w:t xml:space="preserve">współpracy. Stosowanie dobrych praktyk projektowych. </w:t>
            </w:r>
          </w:p>
          <w:p w14:paraId="6AD87462" w14:textId="77777777" w:rsidR="00A31208" w:rsidRDefault="00810AA1">
            <w:pPr>
              <w:spacing w:line="360" w:lineRule="auto"/>
              <w:rPr>
                <w:rFonts w:ascii="Arial" w:eastAsia="Arial" w:hAnsi="Arial" w:cs="Arial"/>
                <w:sz w:val="20"/>
                <w:szCs w:val="20"/>
              </w:rPr>
            </w:pPr>
            <w:r>
              <w:rPr>
                <w:rFonts w:ascii="Arial" w:eastAsia="Arial" w:hAnsi="Arial" w:cs="Arial"/>
                <w:sz w:val="20"/>
                <w:szCs w:val="20"/>
              </w:rPr>
              <w:t>Faktyczne</w:t>
            </w:r>
            <w:r w:rsidR="00E421FE">
              <w:rPr>
                <w:rFonts w:ascii="Arial" w:eastAsia="Arial" w:hAnsi="Arial" w:cs="Arial"/>
                <w:sz w:val="20"/>
                <w:szCs w:val="20"/>
              </w:rPr>
              <w:t xml:space="preserve"> efekty działań </w:t>
            </w:r>
            <w:r>
              <w:rPr>
                <w:rFonts w:ascii="Arial" w:eastAsia="Arial" w:hAnsi="Arial" w:cs="Arial"/>
                <w:sz w:val="20"/>
                <w:szCs w:val="20"/>
              </w:rPr>
              <w:t>–</w:t>
            </w:r>
            <w:r w:rsidR="00E421FE">
              <w:rPr>
                <w:rFonts w:ascii="Arial" w:eastAsia="Arial" w:hAnsi="Arial" w:cs="Arial"/>
                <w:sz w:val="20"/>
                <w:szCs w:val="20"/>
              </w:rPr>
              <w:t xml:space="preserve"> redukowanie</w:t>
            </w:r>
            <w:r>
              <w:rPr>
                <w:rFonts w:ascii="Arial" w:eastAsia="Arial" w:hAnsi="Arial" w:cs="Arial"/>
                <w:sz w:val="20"/>
                <w:szCs w:val="20"/>
              </w:rPr>
              <w:t xml:space="preserve"> ryzyka poprzez zaangażowanie wszystkich pracowników projektu</w:t>
            </w:r>
            <w:r w:rsidR="00E421FE">
              <w:rPr>
                <w:rFonts w:ascii="Arial" w:eastAsia="Arial" w:hAnsi="Arial" w:cs="Arial"/>
                <w:sz w:val="20"/>
                <w:szCs w:val="20"/>
              </w:rPr>
              <w:t>.</w:t>
            </w:r>
          </w:p>
        </w:tc>
      </w:tr>
      <w:tr w:rsidR="00A31208" w14:paraId="5945D0E4" w14:textId="77777777">
        <w:trPr>
          <w:trHeight w:val="724"/>
          <w:jc w:val="center"/>
        </w:trPr>
        <w:tc>
          <w:tcPr>
            <w:tcW w:w="30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529D04"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lastRenderedPageBreak/>
              <w:t xml:space="preserve">Ryzyko finansowe. </w:t>
            </w:r>
          </w:p>
          <w:p w14:paraId="755E7013"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Ryzyko związane z niewystarczającymi środkami finansowymi na realizację projektu. Większość środków finansowych na realizację projektu znajduje się w rezerwie celowej, której uruchomienie jest związane z uciążliwą procedurą.</w:t>
            </w:r>
          </w:p>
        </w:tc>
        <w:tc>
          <w:tcPr>
            <w:tcW w:w="1665" w:type="dxa"/>
            <w:shd w:val="clear" w:color="auto" w:fill="FFFFFF"/>
            <w:vAlign w:val="center"/>
          </w:tcPr>
          <w:p w14:paraId="42FE9000" w14:textId="5100FE53" w:rsidR="00A31208" w:rsidRDefault="00E421FE">
            <w:pPr>
              <w:spacing w:after="200"/>
              <w:jc w:val="center"/>
              <w:rPr>
                <w:rFonts w:ascii="Arial" w:eastAsia="Arial" w:hAnsi="Arial" w:cs="Arial"/>
                <w:sz w:val="20"/>
                <w:szCs w:val="20"/>
              </w:rPr>
            </w:pPr>
            <w:r>
              <w:rPr>
                <w:rFonts w:ascii="Arial" w:eastAsia="Arial" w:hAnsi="Arial" w:cs="Arial"/>
                <w:sz w:val="20"/>
                <w:szCs w:val="20"/>
              </w:rPr>
              <w:t>Średni</w:t>
            </w:r>
            <w:r w:rsidR="00A27206">
              <w:rPr>
                <w:rFonts w:ascii="Arial" w:eastAsia="Arial" w:hAnsi="Arial" w:cs="Arial"/>
                <w:sz w:val="20"/>
                <w:szCs w:val="20"/>
              </w:rPr>
              <w:t>a</w:t>
            </w:r>
          </w:p>
        </w:tc>
        <w:tc>
          <w:tcPr>
            <w:tcW w:w="2130" w:type="dxa"/>
            <w:shd w:val="clear" w:color="auto" w:fill="FFFFFF"/>
            <w:vAlign w:val="center"/>
          </w:tcPr>
          <w:p w14:paraId="3AE716A8"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5D0FE2"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Sporządzanie planów i harmonogramów wydatków. Analiza wydatkowania środków.</w:t>
            </w:r>
          </w:p>
          <w:p w14:paraId="571C95C7" w14:textId="77777777" w:rsidR="00810AA1" w:rsidRDefault="00810AA1">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p w14:paraId="7CFBFB72" w14:textId="77777777" w:rsidR="00A27206" w:rsidRDefault="00A27206">
            <w:pPr>
              <w:spacing w:line="360" w:lineRule="auto"/>
              <w:rPr>
                <w:rFonts w:ascii="Arial" w:eastAsia="Arial" w:hAnsi="Arial" w:cs="Arial"/>
                <w:sz w:val="20"/>
                <w:szCs w:val="20"/>
              </w:rPr>
            </w:pPr>
          </w:p>
          <w:p w14:paraId="156A7826" w14:textId="77777777" w:rsidR="00A27206" w:rsidRDefault="00A27206">
            <w:pPr>
              <w:spacing w:line="360" w:lineRule="auto"/>
              <w:rPr>
                <w:rFonts w:ascii="Helvetica" w:hAnsi="Helvetica" w:cs="Helvetica"/>
                <w:color w:val="000000"/>
                <w:sz w:val="20"/>
                <w:szCs w:val="20"/>
                <w:shd w:val="clear" w:color="auto" w:fill="FFFFFF"/>
              </w:rPr>
            </w:pPr>
            <w:r>
              <w:rPr>
                <w:rFonts w:ascii="Helvetica" w:hAnsi="Helvetica" w:cs="Helvetica"/>
                <w:color w:val="000000"/>
                <w:sz w:val="20"/>
                <w:szCs w:val="20"/>
                <w:shd w:val="clear" w:color="auto" w:fill="FFFFFF"/>
              </w:rPr>
              <w:t>Wystąpienie do MEN z wnioskiem o wystąpienie do MF o przyznanie rezerwy celowej natychmiast po podpisaniu porozumienia pomiędzy CKE a CPPC (podpisane porozumienie jest warunkiem wystąpienia o rezerwę).</w:t>
            </w:r>
          </w:p>
          <w:p w14:paraId="63373DAC" w14:textId="6E05AFFC" w:rsidR="00A27206" w:rsidRDefault="00A27206">
            <w:pPr>
              <w:spacing w:line="360" w:lineRule="auto"/>
              <w:rPr>
                <w:rFonts w:ascii="Arial" w:eastAsia="Arial" w:hAnsi="Arial" w:cs="Arial"/>
                <w:sz w:val="20"/>
                <w:szCs w:val="20"/>
              </w:rPr>
            </w:pPr>
            <w:r>
              <w:rPr>
                <w:rFonts w:ascii="Helvetica" w:hAnsi="Helvetica" w:cs="Helvetica"/>
                <w:color w:val="000000"/>
                <w:sz w:val="20"/>
                <w:szCs w:val="20"/>
                <w:shd w:val="clear" w:color="auto" w:fill="FFFFFF"/>
              </w:rPr>
              <w:t>Modyfikacja projektu, tak aby harmonogram jego realizacji odpowiadał rzeczywistym możliwościom, uwzględniając termin przyznania rezerwy celowej.</w:t>
            </w:r>
          </w:p>
        </w:tc>
      </w:tr>
      <w:tr w:rsidR="00A31208" w14:paraId="47798773" w14:textId="77777777">
        <w:trPr>
          <w:trHeight w:val="724"/>
          <w:jc w:val="center"/>
        </w:trPr>
        <w:tc>
          <w:tcPr>
            <w:tcW w:w="3078" w:type="dxa"/>
            <w:shd w:val="clear" w:color="auto" w:fill="auto"/>
            <w:vAlign w:val="center"/>
          </w:tcPr>
          <w:p w14:paraId="666B99C3"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Ryzyko prawne.</w:t>
            </w:r>
          </w:p>
          <w:p w14:paraId="48F6AD00"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Długotrwałe przeciągające się procedury przetargowe</w:t>
            </w:r>
          </w:p>
        </w:tc>
        <w:tc>
          <w:tcPr>
            <w:tcW w:w="1665" w:type="dxa"/>
            <w:shd w:val="clear" w:color="auto" w:fill="FFFFFF"/>
            <w:vAlign w:val="center"/>
          </w:tcPr>
          <w:p w14:paraId="3A57A6B4"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Średnia</w:t>
            </w:r>
          </w:p>
        </w:tc>
        <w:tc>
          <w:tcPr>
            <w:tcW w:w="2130" w:type="dxa"/>
            <w:shd w:val="clear" w:color="auto" w:fill="FFFFFF"/>
            <w:vAlign w:val="center"/>
          </w:tcPr>
          <w:p w14:paraId="4FA308BA" w14:textId="208C73F2" w:rsidR="00A31208" w:rsidRDefault="00A27206">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3C92B065"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Przygotowanie postępowania z odpowiednim wyprzedzeniem. Zapewnienie precyzyjnych i wysokiej jakości dokumentów OPZ i SIWZ</w:t>
            </w:r>
          </w:p>
          <w:p w14:paraId="6285F0F3" w14:textId="77777777" w:rsidR="00810AA1" w:rsidRDefault="00810AA1">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r w:rsidR="00A31208" w14:paraId="3B20DC6F" w14:textId="77777777">
        <w:trPr>
          <w:trHeight w:val="724"/>
          <w:jc w:val="center"/>
        </w:trPr>
        <w:tc>
          <w:tcPr>
            <w:tcW w:w="3078" w:type="dxa"/>
            <w:shd w:val="clear" w:color="auto" w:fill="auto"/>
            <w:vAlign w:val="center"/>
          </w:tcPr>
          <w:p w14:paraId="1C4E1335"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Ryzyko finansowe.</w:t>
            </w:r>
          </w:p>
          <w:p w14:paraId="7A439637"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Niewłaściwe oszacowanie zakładanych kosztów projektu.</w:t>
            </w:r>
          </w:p>
        </w:tc>
        <w:tc>
          <w:tcPr>
            <w:tcW w:w="1665" w:type="dxa"/>
            <w:shd w:val="clear" w:color="auto" w:fill="FFFFFF"/>
            <w:vAlign w:val="center"/>
          </w:tcPr>
          <w:p w14:paraId="0DE6C481"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Średnia</w:t>
            </w:r>
          </w:p>
        </w:tc>
        <w:tc>
          <w:tcPr>
            <w:tcW w:w="2130" w:type="dxa"/>
            <w:shd w:val="clear" w:color="auto" w:fill="FFFFFF"/>
            <w:vAlign w:val="center"/>
          </w:tcPr>
          <w:p w14:paraId="690D3A8A" w14:textId="24AA258C" w:rsidR="00A31208" w:rsidRDefault="00A27206">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3B8BAA62"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 xml:space="preserve">Rynek infrastruktury teleinformatycznej charakteryzuje się znaczną dynamiką zmiany cen w czasie </w:t>
            </w:r>
            <w:r>
              <w:rPr>
                <w:rFonts w:ascii="Arial" w:eastAsia="Arial" w:hAnsi="Arial" w:cs="Arial"/>
                <w:sz w:val="20"/>
                <w:szCs w:val="20"/>
              </w:rPr>
              <w:lastRenderedPageBreak/>
              <w:t>oraz ryzykiem kursowym. W przypadku realizacji specjalistycznych usług informatycznych i doradczych oraz produkcji oprogramowania, szacowanie wartości zadań może być obarczone błędem. Z tego tytułu będzie prowadzona stała kontrola pracochłonności wytwarzania oprogramowania, weryfikacja pozostałych kosztów projektu, formułowanie zadań z wykorzystaniem prawa opcji.</w:t>
            </w:r>
          </w:p>
          <w:p w14:paraId="78143ACE" w14:textId="77777777" w:rsidR="00810AA1" w:rsidRDefault="00810AA1">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r w:rsidR="00A31208" w14:paraId="6870F61C" w14:textId="77777777">
        <w:trPr>
          <w:trHeight w:val="724"/>
          <w:jc w:val="center"/>
        </w:trPr>
        <w:tc>
          <w:tcPr>
            <w:tcW w:w="3078" w:type="dxa"/>
            <w:shd w:val="clear" w:color="auto" w:fill="auto"/>
            <w:vAlign w:val="center"/>
          </w:tcPr>
          <w:p w14:paraId="76B561DE"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lastRenderedPageBreak/>
              <w:t>Ryzyko organizacyjne.</w:t>
            </w:r>
          </w:p>
          <w:p w14:paraId="27786FCB"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Formuła realizacji dla większości produktów oparta na dostawcach zewnętrznych.</w:t>
            </w:r>
          </w:p>
        </w:tc>
        <w:tc>
          <w:tcPr>
            <w:tcW w:w="1665" w:type="dxa"/>
            <w:shd w:val="clear" w:color="auto" w:fill="FFFFFF"/>
            <w:vAlign w:val="center"/>
          </w:tcPr>
          <w:p w14:paraId="5265992F"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1EB28322"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415D67C6"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Właściwe (z odpowiednim wyprzedzeniem) planowanie procesu wyboru dostawców. Monitorowanie procesu realizacji zamówienia na produkty.</w:t>
            </w:r>
          </w:p>
          <w:p w14:paraId="3762E827" w14:textId="77777777" w:rsidR="00810AA1" w:rsidRDefault="00810AA1">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r w:rsidR="00A31208" w14:paraId="5C31ED4F" w14:textId="77777777">
        <w:trPr>
          <w:trHeight w:val="724"/>
          <w:jc w:val="center"/>
        </w:trPr>
        <w:tc>
          <w:tcPr>
            <w:tcW w:w="3078" w:type="dxa"/>
            <w:shd w:val="clear" w:color="auto" w:fill="auto"/>
            <w:vAlign w:val="center"/>
          </w:tcPr>
          <w:p w14:paraId="509E771F"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Ryzyko technologiczne.</w:t>
            </w:r>
          </w:p>
          <w:p w14:paraId="6A4CD021"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Otrzymanie produktów nieodpowiadających wymaganiom biznesowym określonych w dokumentach projektu i opisie przedmiotu zamówienia w postępowaniu o zamówienie publiczne lub niższy poziom dostarczanych produktów Projektu</w:t>
            </w:r>
          </w:p>
        </w:tc>
        <w:tc>
          <w:tcPr>
            <w:tcW w:w="1665" w:type="dxa"/>
            <w:shd w:val="clear" w:color="auto" w:fill="FFFFFF"/>
            <w:vAlign w:val="center"/>
          </w:tcPr>
          <w:p w14:paraId="1FD96319"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71BB7924"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402349B9"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Dokładne i kompletne sprecyzowanie wymagań w opisie przedmiotu zamówienia. Precyzyjna komunikacja, z zachowaniem ustaleń zapisanych w umowie, zatwierdzonych notatkach. Precyzyjne formułowanie celów spotkań i innych wspólnych prac oraz przestrzeganie i egzekwowanie ustaleń.</w:t>
            </w:r>
          </w:p>
          <w:p w14:paraId="24D00A90" w14:textId="77777777" w:rsidR="00810AA1" w:rsidRDefault="00810AA1">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r w:rsidR="00A31208" w14:paraId="4C929E9C" w14:textId="77777777">
        <w:trPr>
          <w:trHeight w:val="724"/>
          <w:jc w:val="center"/>
        </w:trPr>
        <w:tc>
          <w:tcPr>
            <w:tcW w:w="3078" w:type="dxa"/>
            <w:shd w:val="clear" w:color="auto" w:fill="auto"/>
            <w:vAlign w:val="center"/>
          </w:tcPr>
          <w:p w14:paraId="0269D5FB"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lastRenderedPageBreak/>
              <w:t>Ryzyko technologiczne.</w:t>
            </w:r>
          </w:p>
          <w:p w14:paraId="3142AF56"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665" w:type="dxa"/>
            <w:shd w:val="clear" w:color="auto" w:fill="FFFFFF"/>
            <w:vAlign w:val="center"/>
          </w:tcPr>
          <w:p w14:paraId="664D5613"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3FEC13F5"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5EC67DE9"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7FD940A9" w14:textId="77777777" w:rsidR="00810AA1" w:rsidRDefault="00810AA1">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r w:rsidR="00A31208" w14:paraId="3B2C4BF6" w14:textId="77777777">
        <w:trPr>
          <w:trHeight w:val="724"/>
          <w:jc w:val="center"/>
        </w:trPr>
        <w:tc>
          <w:tcPr>
            <w:tcW w:w="3078" w:type="dxa"/>
            <w:shd w:val="clear" w:color="auto" w:fill="auto"/>
            <w:vAlign w:val="center"/>
          </w:tcPr>
          <w:p w14:paraId="2FDBB365"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Ryzyko organizacyjne.</w:t>
            </w:r>
          </w:p>
          <w:p w14:paraId="1A7DF2AD"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Brak produkcyjnego uruchomienia systemu w terminie wyznaczonego kamienia milowego</w:t>
            </w:r>
          </w:p>
        </w:tc>
        <w:tc>
          <w:tcPr>
            <w:tcW w:w="1665" w:type="dxa"/>
            <w:shd w:val="clear" w:color="auto" w:fill="FFFFFF"/>
            <w:vAlign w:val="center"/>
          </w:tcPr>
          <w:p w14:paraId="6CD3872D"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09F5A942" w14:textId="77777777" w:rsidR="00A31208" w:rsidRDefault="00E421FE">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306B0FA3"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Ścisłe monitorowanie harmonogramu i ryzyka opóźnienia oraz związanie projektu informatycznego z działaniami prawnymi.</w:t>
            </w:r>
          </w:p>
          <w:p w14:paraId="16439EB5" w14:textId="77777777" w:rsidR="00810AA1" w:rsidRDefault="00810AA1">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bl>
    <w:p w14:paraId="2D6AFDC7" w14:textId="77777777" w:rsidR="00A31208" w:rsidRDefault="00A31208">
      <w:pPr>
        <w:spacing w:before="240" w:after="120"/>
        <w:rPr>
          <w:rFonts w:ascii="Arial" w:eastAsia="Arial" w:hAnsi="Arial" w:cs="Arial"/>
          <w:b/>
          <w:sz w:val="20"/>
          <w:szCs w:val="20"/>
        </w:rPr>
      </w:pPr>
    </w:p>
    <w:p w14:paraId="7C9673DC" w14:textId="77777777" w:rsidR="00A31208" w:rsidRDefault="00E421FE">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utrzymanie efektów projektu</w:t>
      </w:r>
    </w:p>
    <w:tbl>
      <w:tblPr>
        <w:tblStyle w:val="a7"/>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A31208" w14:paraId="3EA1A1D0" w14:textId="77777777">
        <w:trPr>
          <w:trHeight w:val="724"/>
          <w:jc w:val="center"/>
        </w:trPr>
        <w:tc>
          <w:tcPr>
            <w:tcW w:w="3060" w:type="dxa"/>
            <w:shd w:val="clear" w:color="auto" w:fill="D9D9D9"/>
            <w:vAlign w:val="center"/>
          </w:tcPr>
          <w:p w14:paraId="32E7C472" w14:textId="77777777" w:rsidR="00A31208" w:rsidRDefault="00E421FE">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00681745" w14:textId="77777777" w:rsidR="00A31208" w:rsidRDefault="00E421FE">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34515AFA" w14:textId="77777777" w:rsidR="00A31208" w:rsidRDefault="00E421FE">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301C0968" w14:textId="77777777" w:rsidR="00A31208" w:rsidRDefault="00E421FE">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A31208" w14:paraId="408356B0" w14:textId="77777777">
        <w:trPr>
          <w:trHeight w:val="3030"/>
          <w:jc w:val="center"/>
        </w:trPr>
        <w:tc>
          <w:tcPr>
            <w:tcW w:w="3060" w:type="dxa"/>
            <w:shd w:val="clear" w:color="auto" w:fill="auto"/>
            <w:vAlign w:val="center"/>
          </w:tcPr>
          <w:p w14:paraId="59C989E5"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t>Utrata zaufania do systemu w wyniku cyberataków, awarii systemu</w:t>
            </w:r>
          </w:p>
        </w:tc>
        <w:tc>
          <w:tcPr>
            <w:tcW w:w="1845" w:type="dxa"/>
            <w:shd w:val="clear" w:color="auto" w:fill="FFFFFF"/>
            <w:vAlign w:val="center"/>
          </w:tcPr>
          <w:p w14:paraId="23BBEE29" w14:textId="77777777" w:rsidR="00A31208" w:rsidRDefault="00E421FE">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7BAC57CF" w14:textId="77777777" w:rsidR="00A31208" w:rsidRDefault="00E421FE">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1DB193E4" w14:textId="77777777" w:rsidR="00A31208" w:rsidRDefault="00E421FE">
            <w:pPr>
              <w:spacing w:after="200" w:line="360" w:lineRule="auto"/>
              <w:rPr>
                <w:rFonts w:ascii="Arial" w:eastAsia="Arial" w:hAnsi="Arial" w:cs="Arial"/>
                <w:b/>
                <w:sz w:val="20"/>
                <w:szCs w:val="20"/>
              </w:rPr>
            </w:pPr>
            <w:r>
              <w:rPr>
                <w:rFonts w:ascii="Arial" w:eastAsia="Arial" w:hAnsi="Arial" w:cs="Arial"/>
                <w:sz w:val="20"/>
                <w:szCs w:val="20"/>
              </w:rPr>
              <w:t xml:space="preserve">Bieżąca analiza występujących zagrożeń </w:t>
            </w:r>
            <w:proofErr w:type="spellStart"/>
            <w:r>
              <w:rPr>
                <w:rFonts w:ascii="Arial" w:eastAsia="Arial" w:hAnsi="Arial" w:cs="Arial"/>
                <w:sz w:val="20"/>
                <w:szCs w:val="20"/>
              </w:rPr>
              <w:t>cyberbezpieczeństwa</w:t>
            </w:r>
            <w:proofErr w:type="spellEnd"/>
            <w:r>
              <w:rPr>
                <w:rFonts w:ascii="Arial" w:eastAsia="Arial" w:hAnsi="Arial" w:cs="Arial"/>
                <w:sz w:val="20"/>
                <w:szCs w:val="20"/>
              </w:rPr>
              <w:t xml:space="preserve"> w kraju i na świecie. Stosowanie najnowszych rozwiązań technicznych i organizacyjnych. </w:t>
            </w:r>
            <w:r>
              <w:rPr>
                <w:rFonts w:ascii="Arial" w:eastAsia="Arial" w:hAnsi="Arial" w:cs="Arial"/>
                <w:sz w:val="20"/>
                <w:szCs w:val="20"/>
              </w:rPr>
              <w:lastRenderedPageBreak/>
              <w:t>Monitoring systemu wraz z procedurami.</w:t>
            </w:r>
          </w:p>
        </w:tc>
      </w:tr>
      <w:tr w:rsidR="00A31208" w14:paraId="2482AE29" w14:textId="77777777">
        <w:trPr>
          <w:trHeight w:val="452"/>
          <w:jc w:val="center"/>
        </w:trPr>
        <w:tc>
          <w:tcPr>
            <w:tcW w:w="3060" w:type="dxa"/>
            <w:shd w:val="clear" w:color="auto" w:fill="auto"/>
            <w:vAlign w:val="center"/>
          </w:tcPr>
          <w:p w14:paraId="554B3091" w14:textId="77777777" w:rsidR="00A31208" w:rsidRDefault="00E421FE">
            <w:pPr>
              <w:spacing w:line="360" w:lineRule="auto"/>
              <w:rPr>
                <w:rFonts w:ascii="Arial" w:eastAsia="Arial" w:hAnsi="Arial" w:cs="Arial"/>
                <w:sz w:val="20"/>
                <w:szCs w:val="20"/>
              </w:rPr>
            </w:pPr>
            <w:r>
              <w:rPr>
                <w:rFonts w:ascii="Arial" w:eastAsia="Arial" w:hAnsi="Arial" w:cs="Arial"/>
                <w:sz w:val="20"/>
                <w:szCs w:val="20"/>
              </w:rPr>
              <w:lastRenderedPageBreak/>
              <w:t>Brak zabezpieczenia środków finansowych na utrzymanie systemu po jego wdrożeniu</w:t>
            </w:r>
          </w:p>
        </w:tc>
        <w:tc>
          <w:tcPr>
            <w:tcW w:w="1845" w:type="dxa"/>
            <w:shd w:val="clear" w:color="auto" w:fill="FFFFFF"/>
            <w:vAlign w:val="center"/>
          </w:tcPr>
          <w:p w14:paraId="40930EDB" w14:textId="77777777" w:rsidR="00A31208" w:rsidRDefault="00E421FE">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64ADBBC7" w14:textId="77777777" w:rsidR="00A31208" w:rsidRDefault="00E421FE">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7809A16C" w14:textId="77777777" w:rsidR="00A31208" w:rsidRDefault="00E421FE">
            <w:pPr>
              <w:spacing w:after="200" w:line="360" w:lineRule="auto"/>
              <w:rPr>
                <w:rFonts w:ascii="Arial" w:eastAsia="Arial" w:hAnsi="Arial" w:cs="Arial"/>
                <w:b/>
                <w:sz w:val="20"/>
                <w:szCs w:val="20"/>
              </w:rPr>
            </w:pPr>
            <w:r>
              <w:rPr>
                <w:rFonts w:ascii="Arial" w:eastAsia="Arial" w:hAnsi="Arial" w:cs="Arial"/>
                <w:sz w:val="20"/>
                <w:szCs w:val="20"/>
              </w:rPr>
              <w:t>Analiza kosztów utrzymania systemu i zabezpieczenie odpowiednich środków w budżecie Państwa.</w:t>
            </w:r>
          </w:p>
        </w:tc>
      </w:tr>
    </w:tbl>
    <w:p w14:paraId="44603389" w14:textId="77777777" w:rsidR="00A31208" w:rsidRDefault="00E421FE" w:rsidP="00676FC0">
      <w:pPr>
        <w:numPr>
          <w:ilvl w:val="0"/>
          <w:numId w:val="2"/>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t>Wymiarowanie systemu informatycznego</w:t>
      </w:r>
    </w:p>
    <w:p w14:paraId="39A5E40A" w14:textId="77777777" w:rsidR="00A31208" w:rsidRDefault="00E421FE">
      <w:pP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nie dotyczy </w:t>
      </w:r>
    </w:p>
    <w:p w14:paraId="2C2A223C" w14:textId="77777777" w:rsidR="00A31208" w:rsidRDefault="00E421FE" w:rsidP="00676FC0">
      <w:pPr>
        <w:numPr>
          <w:ilvl w:val="0"/>
          <w:numId w:val="2"/>
        </w:numPr>
        <w:pBdr>
          <w:top w:val="nil"/>
          <w:left w:val="nil"/>
          <w:bottom w:val="nil"/>
          <w:right w:val="nil"/>
          <w:between w:val="nil"/>
        </w:pBdr>
        <w:spacing w:before="360"/>
        <w:jc w:val="both"/>
        <w:rPr>
          <w:rFonts w:ascii="Arial" w:eastAsia="Arial" w:hAnsi="Arial" w:cs="Arial"/>
        </w:rPr>
      </w:pPr>
      <w:bookmarkStart w:id="4" w:name="_3znysh7" w:colFirst="0" w:colLast="0"/>
      <w:bookmarkEnd w:id="4"/>
      <w:r>
        <w:rPr>
          <w:rFonts w:ascii="Arial" w:eastAsia="Arial" w:hAnsi="Arial" w:cs="Arial"/>
          <w:b/>
          <w:color w:val="000000"/>
          <w:sz w:val="24"/>
          <w:szCs w:val="24"/>
        </w:rPr>
        <w:t>Dane kontaktowe</w:t>
      </w:r>
    </w:p>
    <w:p w14:paraId="67702007" w14:textId="77777777" w:rsidR="00A31208" w:rsidRDefault="00E421FE">
      <w:pPr>
        <w:spacing w:after="0"/>
        <w:jc w:val="both"/>
        <w:rPr>
          <w:rFonts w:ascii="Arial" w:eastAsia="Arial" w:hAnsi="Arial" w:cs="Arial"/>
        </w:rPr>
      </w:pPr>
      <w:r>
        <w:rPr>
          <w:rFonts w:ascii="Arial" w:eastAsia="Arial" w:hAnsi="Arial" w:cs="Arial"/>
        </w:rPr>
        <w:t>Anna Zielonka</w:t>
      </w:r>
    </w:p>
    <w:p w14:paraId="53898A47" w14:textId="77777777" w:rsidR="00A31208" w:rsidRDefault="00E421FE">
      <w:pPr>
        <w:spacing w:after="0"/>
        <w:jc w:val="both"/>
        <w:rPr>
          <w:rFonts w:ascii="Arial" w:eastAsia="Arial" w:hAnsi="Arial" w:cs="Arial"/>
        </w:rPr>
      </w:pPr>
      <w:r>
        <w:rPr>
          <w:rFonts w:ascii="Arial" w:eastAsia="Arial" w:hAnsi="Arial" w:cs="Arial"/>
        </w:rPr>
        <w:t>Zespół ds. Projektu „Ocenianie na ekranie” (</w:t>
      </w:r>
      <w:proofErr w:type="spellStart"/>
      <w:r>
        <w:rPr>
          <w:rFonts w:ascii="Arial" w:eastAsia="Arial" w:hAnsi="Arial" w:cs="Arial"/>
        </w:rPr>
        <w:t>ZOnE</w:t>
      </w:r>
      <w:proofErr w:type="spellEnd"/>
      <w:r>
        <w:rPr>
          <w:rFonts w:ascii="Arial" w:eastAsia="Arial" w:hAnsi="Arial" w:cs="Arial"/>
        </w:rPr>
        <w:t>)</w:t>
      </w:r>
    </w:p>
    <w:p w14:paraId="5E8AA88C" w14:textId="77777777" w:rsidR="00A31208" w:rsidRDefault="00E421FE">
      <w:pPr>
        <w:spacing w:after="0"/>
        <w:jc w:val="both"/>
        <w:rPr>
          <w:rFonts w:ascii="Arial" w:eastAsia="Arial" w:hAnsi="Arial" w:cs="Arial"/>
        </w:rPr>
      </w:pPr>
      <w:r>
        <w:rPr>
          <w:rFonts w:ascii="Arial" w:eastAsia="Arial" w:hAnsi="Arial" w:cs="Arial"/>
        </w:rPr>
        <w:t>Centralna Komisja Egzaminacyjna w Warszawie</w:t>
      </w:r>
    </w:p>
    <w:p w14:paraId="0870EC23" w14:textId="77777777" w:rsidR="00A31208" w:rsidRDefault="00E421FE">
      <w:pPr>
        <w:spacing w:after="0"/>
        <w:jc w:val="both"/>
        <w:rPr>
          <w:rFonts w:ascii="Arial" w:eastAsia="Arial" w:hAnsi="Arial" w:cs="Arial"/>
        </w:rPr>
      </w:pPr>
      <w:r>
        <w:rPr>
          <w:rFonts w:ascii="Arial" w:eastAsia="Arial" w:hAnsi="Arial" w:cs="Arial"/>
        </w:rPr>
        <w:t>tel. 22 536 65 65</w:t>
      </w:r>
    </w:p>
    <w:p w14:paraId="6F1FB60E" w14:textId="77777777" w:rsidR="00A31208" w:rsidRPr="00D76EAB" w:rsidRDefault="00E421FE">
      <w:pPr>
        <w:spacing w:after="0"/>
        <w:jc w:val="both"/>
        <w:rPr>
          <w:rFonts w:ascii="Arial" w:eastAsia="Arial" w:hAnsi="Arial" w:cs="Arial"/>
          <w:lang w:val="en-US"/>
        </w:rPr>
      </w:pPr>
      <w:r w:rsidRPr="00D76EAB">
        <w:rPr>
          <w:rFonts w:ascii="Arial" w:eastAsia="Arial" w:hAnsi="Arial" w:cs="Arial"/>
          <w:lang w:val="en-US"/>
        </w:rPr>
        <w:t xml:space="preserve">e-mail: </w:t>
      </w:r>
      <w:hyperlink r:id="rId5">
        <w:r w:rsidRPr="00D76EAB">
          <w:rPr>
            <w:rFonts w:ascii="Arial" w:eastAsia="Arial" w:hAnsi="Arial" w:cs="Arial"/>
            <w:color w:val="0000FF"/>
            <w:u w:val="single"/>
            <w:lang w:val="en-US"/>
          </w:rPr>
          <w:t>anna.zielonka@cke.gov.pl</w:t>
        </w:r>
      </w:hyperlink>
      <w:r w:rsidRPr="00D76EAB">
        <w:rPr>
          <w:rFonts w:ascii="Arial" w:eastAsia="Arial" w:hAnsi="Arial" w:cs="Arial"/>
          <w:lang w:val="en-US"/>
        </w:rPr>
        <w:t xml:space="preserve"> </w:t>
      </w:r>
    </w:p>
    <w:p w14:paraId="2E9831E5" w14:textId="77777777" w:rsidR="00A31208" w:rsidRPr="00D76EAB" w:rsidRDefault="00A31208">
      <w:pPr>
        <w:spacing w:after="0"/>
        <w:jc w:val="both"/>
        <w:rPr>
          <w:rFonts w:ascii="Arial" w:eastAsia="Arial" w:hAnsi="Arial" w:cs="Arial"/>
          <w:lang w:val="en-US"/>
        </w:rPr>
      </w:pPr>
    </w:p>
    <w:p w14:paraId="1FBEECF1" w14:textId="77777777" w:rsidR="00A31208" w:rsidRPr="00D76EAB" w:rsidRDefault="00A31208">
      <w:pPr>
        <w:spacing w:after="0"/>
        <w:jc w:val="both"/>
        <w:rPr>
          <w:rFonts w:ascii="Arial" w:eastAsia="Arial" w:hAnsi="Arial" w:cs="Arial"/>
          <w:lang w:val="en-US"/>
        </w:rPr>
      </w:pPr>
    </w:p>
    <w:sectPr w:rsidR="00A31208" w:rsidRPr="00D76EAB">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A13E24"/>
    <w:multiLevelType w:val="multilevel"/>
    <w:tmpl w:val="BD18ED34"/>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F711958"/>
    <w:multiLevelType w:val="multilevel"/>
    <w:tmpl w:val="0E08A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37A6466"/>
    <w:multiLevelType w:val="multilevel"/>
    <w:tmpl w:val="B762986C"/>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208"/>
    <w:rsid w:val="00010F75"/>
    <w:rsid w:val="00122BF0"/>
    <w:rsid w:val="0017192E"/>
    <w:rsid w:val="002C71D8"/>
    <w:rsid w:val="00676FC0"/>
    <w:rsid w:val="007E3754"/>
    <w:rsid w:val="007F31CF"/>
    <w:rsid w:val="00810AA1"/>
    <w:rsid w:val="00A27206"/>
    <w:rsid w:val="00A31208"/>
    <w:rsid w:val="00B6395B"/>
    <w:rsid w:val="00BA1643"/>
    <w:rsid w:val="00C420C2"/>
    <w:rsid w:val="00D76EAB"/>
    <w:rsid w:val="00DD388F"/>
    <w:rsid w:val="00E421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18A79"/>
  <w15:docId w15:val="{A6573156-A99D-4B9D-9635-A27B5556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na.zielonka@cke.gov.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1600</Words>
  <Characters>9602</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Sienkiewicz</dc:creator>
  <cp:lastModifiedBy>Marcin</cp:lastModifiedBy>
  <cp:revision>2</cp:revision>
  <dcterms:created xsi:type="dcterms:W3CDTF">2020-11-05T12:59:00Z</dcterms:created>
  <dcterms:modified xsi:type="dcterms:W3CDTF">2020-11-05T12:59:00Z</dcterms:modified>
</cp:coreProperties>
</file>